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C21DC" w:rsidRDefault="005D2F19" w:rsidP="00EB38E6">
      <w:pPr>
        <w:jc w:val="center"/>
        <w:rPr>
          <w:lang w:val="en-GB"/>
        </w:rPr>
      </w:pPr>
      <w:bookmarkStart w:id="0" w:name="_GoBack"/>
      <w:bookmarkEnd w:id="0"/>
      <w:r w:rsidRPr="001C21DC">
        <w:rPr>
          <w:noProof/>
        </w:rPr>
        <w:drawing>
          <wp:inline distT="0" distB="0" distL="0" distR="0">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4B52A2" w:rsidRPr="001C21DC" w:rsidRDefault="004B52A2" w:rsidP="00EB38E6">
      <w:pPr>
        <w:autoSpaceDE w:val="0"/>
        <w:ind w:hanging="11"/>
        <w:jc w:val="center"/>
        <w:rPr>
          <w:b/>
          <w:bCs/>
          <w:lang w:val="en-GB"/>
        </w:rPr>
      </w:pPr>
    </w:p>
    <w:p w:rsidR="000F7E70" w:rsidRPr="001C21DC" w:rsidRDefault="000F7E70" w:rsidP="00EB38E6">
      <w:pPr>
        <w:autoSpaceDE w:val="0"/>
        <w:ind w:hanging="11"/>
        <w:jc w:val="center"/>
        <w:rPr>
          <w:b/>
          <w:bCs/>
          <w:lang w:val="en-GB"/>
        </w:rPr>
      </w:pPr>
      <w:r w:rsidRPr="001C21DC">
        <w:rPr>
          <w:b/>
          <w:bCs/>
          <w:lang w:val="en-GB"/>
        </w:rPr>
        <w:t>OPINION</w:t>
      </w:r>
    </w:p>
    <w:p w:rsidR="00EB38E6" w:rsidRPr="001C21DC" w:rsidRDefault="00EB38E6" w:rsidP="00EB38E6">
      <w:pPr>
        <w:autoSpaceDE w:val="0"/>
        <w:ind w:hanging="11"/>
        <w:jc w:val="center"/>
        <w:rPr>
          <w:b/>
          <w:bCs/>
          <w:lang w:val="en-GB"/>
        </w:rPr>
      </w:pPr>
    </w:p>
    <w:p w:rsidR="000F7E70" w:rsidRPr="001C21DC" w:rsidRDefault="000F7E70" w:rsidP="000F7E70">
      <w:pPr>
        <w:autoSpaceDE w:val="0"/>
        <w:jc w:val="both"/>
        <w:rPr>
          <w:b/>
          <w:bCs/>
          <w:lang w:val="en-GB"/>
        </w:rPr>
      </w:pPr>
      <w:r w:rsidRPr="001C21DC">
        <w:rPr>
          <w:b/>
          <w:bCs/>
          <w:lang w:val="en-GB"/>
        </w:rPr>
        <w:t xml:space="preserve">Date of adoption: </w:t>
      </w:r>
      <w:r w:rsidR="001521F4" w:rsidRPr="001C21DC">
        <w:rPr>
          <w:b/>
          <w:bCs/>
          <w:lang w:val="en-GB"/>
        </w:rPr>
        <w:t>26</w:t>
      </w:r>
      <w:r w:rsidRPr="001C21DC">
        <w:rPr>
          <w:b/>
          <w:bCs/>
          <w:lang w:val="en-GB"/>
        </w:rPr>
        <w:t xml:space="preserve"> </w:t>
      </w:r>
      <w:r w:rsidR="001348AA" w:rsidRPr="001C21DC">
        <w:rPr>
          <w:b/>
          <w:bCs/>
          <w:lang w:val="en-GB"/>
        </w:rPr>
        <w:t>June</w:t>
      </w:r>
      <w:r w:rsidRPr="001C21DC">
        <w:rPr>
          <w:b/>
          <w:bCs/>
          <w:lang w:val="en-GB"/>
        </w:rPr>
        <w:t xml:space="preserve"> 20</w:t>
      </w:r>
      <w:r w:rsidR="00C905F1" w:rsidRPr="001C21DC">
        <w:rPr>
          <w:b/>
          <w:bCs/>
          <w:lang w:val="en-GB"/>
        </w:rPr>
        <w:t>1</w:t>
      </w:r>
      <w:r w:rsidR="00E65254" w:rsidRPr="001C21DC">
        <w:rPr>
          <w:b/>
          <w:bCs/>
          <w:lang w:val="en-GB"/>
        </w:rPr>
        <w:t>4</w:t>
      </w:r>
    </w:p>
    <w:p w:rsidR="00E327E1" w:rsidRPr="001C21DC" w:rsidRDefault="00E327E1" w:rsidP="000F7E70">
      <w:pPr>
        <w:autoSpaceDE w:val="0"/>
        <w:jc w:val="both"/>
        <w:rPr>
          <w:b/>
          <w:bCs/>
          <w:lang w:val="en-GB"/>
        </w:rPr>
      </w:pPr>
    </w:p>
    <w:p w:rsidR="00E327E1" w:rsidRPr="001C21DC" w:rsidRDefault="00A73A2A" w:rsidP="00E327E1">
      <w:pPr>
        <w:autoSpaceDE w:val="0"/>
        <w:autoSpaceDN w:val="0"/>
        <w:adjustRightInd w:val="0"/>
        <w:jc w:val="both"/>
        <w:rPr>
          <w:b/>
          <w:bCs/>
          <w:lang w:val="en-GB"/>
        </w:rPr>
      </w:pPr>
      <w:r w:rsidRPr="001C21DC">
        <w:rPr>
          <w:b/>
          <w:bCs/>
          <w:lang w:val="en-GB"/>
        </w:rPr>
        <w:t>Case</w:t>
      </w:r>
      <w:r w:rsidR="00781253">
        <w:rPr>
          <w:b/>
          <w:bCs/>
          <w:lang w:val="en-GB"/>
        </w:rPr>
        <w:t>s</w:t>
      </w:r>
      <w:r w:rsidR="0098749A" w:rsidRPr="001C21DC">
        <w:rPr>
          <w:b/>
          <w:bCs/>
          <w:lang w:val="en-GB"/>
        </w:rPr>
        <w:t xml:space="preserve"> </w:t>
      </w:r>
      <w:r w:rsidR="001348AA" w:rsidRPr="001C21DC">
        <w:rPr>
          <w:b/>
          <w:bCs/>
          <w:lang w:val="en-GB"/>
        </w:rPr>
        <w:t>Nos 291/09, 292/09 and 296</w:t>
      </w:r>
      <w:r w:rsidR="00E327E1" w:rsidRPr="001C21DC">
        <w:rPr>
          <w:b/>
          <w:bCs/>
          <w:lang w:val="en-GB"/>
        </w:rPr>
        <w:t>/09</w:t>
      </w:r>
    </w:p>
    <w:p w:rsidR="00E327E1" w:rsidRPr="001C21DC" w:rsidRDefault="00E327E1" w:rsidP="00E327E1">
      <w:pPr>
        <w:autoSpaceDE w:val="0"/>
        <w:autoSpaceDN w:val="0"/>
        <w:adjustRightInd w:val="0"/>
        <w:jc w:val="both"/>
        <w:rPr>
          <w:b/>
          <w:bCs/>
          <w:lang w:val="en-GB"/>
        </w:rPr>
      </w:pPr>
    </w:p>
    <w:p w:rsidR="00E327E1" w:rsidRPr="001C21DC" w:rsidRDefault="004B52A2" w:rsidP="00E327E1">
      <w:pPr>
        <w:autoSpaceDE w:val="0"/>
        <w:autoSpaceDN w:val="0"/>
        <w:adjustRightInd w:val="0"/>
        <w:jc w:val="both"/>
        <w:rPr>
          <w:b/>
          <w:bCs/>
          <w:lang w:val="en-GB"/>
        </w:rPr>
      </w:pPr>
      <w:r w:rsidRPr="001C21DC">
        <w:rPr>
          <w:b/>
          <w:bCs/>
          <w:lang w:val="en-GB"/>
        </w:rPr>
        <w:t>L.V.</w:t>
      </w:r>
      <w:r w:rsidR="001348AA" w:rsidRPr="001C21DC">
        <w:rPr>
          <w:b/>
          <w:bCs/>
          <w:lang w:val="en-GB"/>
        </w:rPr>
        <w:t>,</w:t>
      </w:r>
      <w:r w:rsidRPr="001C21DC">
        <w:rPr>
          <w:b/>
          <w:bCs/>
          <w:lang w:val="en-GB"/>
        </w:rPr>
        <w:t xml:space="preserve"> M.Đ.</w:t>
      </w:r>
      <w:r w:rsidR="001348AA" w:rsidRPr="001C21DC">
        <w:rPr>
          <w:b/>
          <w:bCs/>
          <w:lang w:val="en-GB"/>
        </w:rPr>
        <w:t xml:space="preserve"> </w:t>
      </w:r>
      <w:r w:rsidR="00E327E1" w:rsidRPr="001C21DC">
        <w:rPr>
          <w:b/>
          <w:bCs/>
          <w:lang w:val="en-GB"/>
        </w:rPr>
        <w:t>and</w:t>
      </w:r>
      <w:r w:rsidR="00E327E1" w:rsidRPr="001C21DC">
        <w:rPr>
          <w:b/>
          <w:bCs/>
          <w:caps/>
          <w:lang w:val="en-GB"/>
        </w:rPr>
        <w:t xml:space="preserve"> </w:t>
      </w:r>
      <w:r w:rsidR="001348AA" w:rsidRPr="001C21DC">
        <w:rPr>
          <w:b/>
          <w:bCs/>
          <w:lang w:val="en-GB"/>
        </w:rPr>
        <w:t>D.S.</w:t>
      </w:r>
    </w:p>
    <w:p w:rsidR="00E327E1" w:rsidRPr="001C21DC" w:rsidRDefault="00E327E1" w:rsidP="00E327E1">
      <w:pPr>
        <w:autoSpaceDE w:val="0"/>
        <w:autoSpaceDN w:val="0"/>
        <w:adjustRightInd w:val="0"/>
        <w:jc w:val="both"/>
        <w:rPr>
          <w:b/>
          <w:bCs/>
          <w:lang w:val="en-GB"/>
        </w:rPr>
      </w:pPr>
    </w:p>
    <w:p w:rsidR="000F7E70" w:rsidRPr="001C21DC" w:rsidRDefault="000F7E70" w:rsidP="000F7E70">
      <w:pPr>
        <w:autoSpaceDE w:val="0"/>
        <w:jc w:val="both"/>
        <w:rPr>
          <w:bCs/>
          <w:lang w:val="en-GB"/>
        </w:rPr>
      </w:pPr>
      <w:r w:rsidRPr="001C21DC">
        <w:rPr>
          <w:b/>
          <w:bCs/>
          <w:lang w:val="en-GB"/>
        </w:rPr>
        <w:t>against</w:t>
      </w:r>
    </w:p>
    <w:p w:rsidR="000F7E70" w:rsidRPr="001C21DC" w:rsidRDefault="000F7E70" w:rsidP="000F7E70">
      <w:pPr>
        <w:autoSpaceDE w:val="0"/>
        <w:jc w:val="both"/>
        <w:rPr>
          <w:b/>
          <w:bCs/>
          <w:lang w:val="en-GB"/>
        </w:rPr>
      </w:pPr>
      <w:r w:rsidRPr="001C21DC">
        <w:rPr>
          <w:b/>
          <w:bCs/>
          <w:lang w:val="en-GB"/>
        </w:rPr>
        <w:t xml:space="preserve"> </w:t>
      </w:r>
    </w:p>
    <w:p w:rsidR="000F7E70" w:rsidRPr="001C21DC" w:rsidRDefault="00A547B2" w:rsidP="000F7E70">
      <w:pPr>
        <w:autoSpaceDE w:val="0"/>
        <w:jc w:val="both"/>
        <w:rPr>
          <w:b/>
          <w:bCs/>
          <w:lang w:val="en-GB"/>
        </w:rPr>
      </w:pPr>
      <w:r w:rsidRPr="001C21DC">
        <w:rPr>
          <w:b/>
          <w:bCs/>
          <w:lang w:val="en-GB"/>
        </w:rPr>
        <w:t>UNMIK</w:t>
      </w:r>
    </w:p>
    <w:p w:rsidR="00E07C8C" w:rsidRPr="001C21DC" w:rsidRDefault="00E07C8C" w:rsidP="000F7E70">
      <w:pPr>
        <w:autoSpaceDE w:val="0"/>
        <w:jc w:val="both"/>
        <w:rPr>
          <w:b/>
          <w:bCs/>
          <w:lang w:val="en-GB"/>
        </w:rPr>
      </w:pPr>
    </w:p>
    <w:p w:rsidR="004202B2" w:rsidRPr="001C21DC" w:rsidRDefault="004202B2" w:rsidP="000F7E70">
      <w:pPr>
        <w:autoSpaceDE w:val="0"/>
        <w:jc w:val="both"/>
        <w:rPr>
          <w:b/>
          <w:bCs/>
          <w:lang w:val="en-GB"/>
        </w:rPr>
      </w:pPr>
    </w:p>
    <w:p w:rsidR="000F7E70" w:rsidRPr="001C21DC" w:rsidRDefault="000F7E70" w:rsidP="000F7E70">
      <w:pPr>
        <w:autoSpaceDE w:val="0"/>
        <w:jc w:val="both"/>
        <w:rPr>
          <w:lang w:val="en-GB"/>
        </w:rPr>
      </w:pPr>
      <w:r w:rsidRPr="001C21DC">
        <w:rPr>
          <w:lang w:val="en-GB"/>
        </w:rPr>
        <w:t>The Human Rights Advisory Panel</w:t>
      </w:r>
      <w:r w:rsidR="00BD28B4" w:rsidRPr="001C21DC">
        <w:rPr>
          <w:lang w:val="en-GB"/>
        </w:rPr>
        <w:t>,</w:t>
      </w:r>
      <w:r w:rsidR="00CE2844" w:rsidRPr="001C21DC">
        <w:rPr>
          <w:lang w:val="en-GB"/>
        </w:rPr>
        <w:t xml:space="preserve"> </w:t>
      </w:r>
      <w:r w:rsidRPr="001C21DC">
        <w:rPr>
          <w:lang w:val="en-GB"/>
        </w:rPr>
        <w:t>on</w:t>
      </w:r>
      <w:r w:rsidR="001A08B0" w:rsidRPr="001C21DC">
        <w:rPr>
          <w:lang w:val="en-GB"/>
        </w:rPr>
        <w:t xml:space="preserve"> </w:t>
      </w:r>
      <w:r w:rsidR="001521F4" w:rsidRPr="001C21DC">
        <w:rPr>
          <w:lang w:val="en-GB"/>
        </w:rPr>
        <w:t>26</w:t>
      </w:r>
      <w:r w:rsidR="00A73A2A" w:rsidRPr="001C21DC">
        <w:rPr>
          <w:lang w:val="en-GB"/>
        </w:rPr>
        <w:t xml:space="preserve"> </w:t>
      </w:r>
      <w:r w:rsidR="00E65254" w:rsidRPr="001C21DC">
        <w:rPr>
          <w:lang w:val="en-GB"/>
        </w:rPr>
        <w:t>J</w:t>
      </w:r>
      <w:r w:rsidR="002F2BDB" w:rsidRPr="001C21DC">
        <w:rPr>
          <w:lang w:val="en-GB"/>
        </w:rPr>
        <w:t>une</w:t>
      </w:r>
      <w:r w:rsidR="00E327E1" w:rsidRPr="001C21DC">
        <w:rPr>
          <w:lang w:val="en-GB"/>
        </w:rPr>
        <w:t xml:space="preserve"> </w:t>
      </w:r>
      <w:r w:rsidR="00173F75" w:rsidRPr="001C21DC">
        <w:rPr>
          <w:lang w:val="en-GB"/>
        </w:rPr>
        <w:t>20</w:t>
      </w:r>
      <w:r w:rsidR="005917EC" w:rsidRPr="001C21DC">
        <w:rPr>
          <w:lang w:val="en-GB"/>
        </w:rPr>
        <w:t>1</w:t>
      </w:r>
      <w:r w:rsidR="00E65254" w:rsidRPr="001C21DC">
        <w:rPr>
          <w:lang w:val="en-GB"/>
        </w:rPr>
        <w:t>4</w:t>
      </w:r>
      <w:r w:rsidR="00E327E1" w:rsidRPr="001C21DC">
        <w:rPr>
          <w:lang w:val="en-GB"/>
        </w:rPr>
        <w:t>,</w:t>
      </w:r>
    </w:p>
    <w:p w:rsidR="000F7E70" w:rsidRPr="001C21DC" w:rsidRDefault="000F7E70" w:rsidP="000F7E70">
      <w:pPr>
        <w:autoSpaceDE w:val="0"/>
        <w:jc w:val="both"/>
        <w:rPr>
          <w:lang w:val="en-GB"/>
        </w:rPr>
      </w:pPr>
      <w:r w:rsidRPr="001C21DC">
        <w:rPr>
          <w:lang w:val="en-GB"/>
        </w:rPr>
        <w:t xml:space="preserve">with the following members </w:t>
      </w:r>
      <w:r w:rsidR="00CE2844" w:rsidRPr="001C21DC">
        <w:rPr>
          <w:lang w:val="en-GB"/>
        </w:rPr>
        <w:t>taking part</w:t>
      </w:r>
      <w:r w:rsidRPr="001C21DC">
        <w:rPr>
          <w:lang w:val="en-GB"/>
        </w:rPr>
        <w:t>:</w:t>
      </w:r>
    </w:p>
    <w:p w:rsidR="000F7E70" w:rsidRPr="001C21DC" w:rsidRDefault="000F7E70" w:rsidP="000F7E70">
      <w:pPr>
        <w:autoSpaceDE w:val="0"/>
        <w:jc w:val="both"/>
        <w:rPr>
          <w:lang w:val="en-GB"/>
        </w:rPr>
      </w:pPr>
    </w:p>
    <w:p w:rsidR="00E07C8C" w:rsidRPr="001C21DC" w:rsidRDefault="00E07C8C" w:rsidP="000F7E70">
      <w:pPr>
        <w:autoSpaceDE w:val="0"/>
        <w:jc w:val="both"/>
        <w:rPr>
          <w:lang w:val="en-GB"/>
        </w:rPr>
      </w:pPr>
      <w:r w:rsidRPr="001C21DC">
        <w:rPr>
          <w:lang w:val="en-GB"/>
        </w:rPr>
        <w:t>Marek N</w:t>
      </w:r>
      <w:r w:rsidR="00FD2F8E" w:rsidRPr="001C21DC">
        <w:rPr>
          <w:lang w:val="en-GB"/>
        </w:rPr>
        <w:t>owicki</w:t>
      </w:r>
      <w:r w:rsidRPr="001C21DC">
        <w:rPr>
          <w:lang w:val="en-GB"/>
        </w:rPr>
        <w:t>, Presiding Membe</w:t>
      </w:r>
      <w:r w:rsidR="000D5BCF" w:rsidRPr="001C21DC">
        <w:rPr>
          <w:lang w:val="en-GB"/>
        </w:rPr>
        <w:t>r</w:t>
      </w:r>
    </w:p>
    <w:p w:rsidR="000F7E70" w:rsidRPr="001C21DC" w:rsidRDefault="00E07C8C" w:rsidP="000F7E70">
      <w:pPr>
        <w:autoSpaceDE w:val="0"/>
        <w:jc w:val="both"/>
        <w:rPr>
          <w:lang w:val="en-GB"/>
        </w:rPr>
      </w:pPr>
      <w:r w:rsidRPr="001C21DC">
        <w:rPr>
          <w:lang w:val="en-GB"/>
        </w:rPr>
        <w:t>Christine C</w:t>
      </w:r>
      <w:r w:rsidR="00FD2F8E" w:rsidRPr="001C21DC">
        <w:rPr>
          <w:lang w:val="en-GB"/>
        </w:rPr>
        <w:t>hinkin</w:t>
      </w:r>
    </w:p>
    <w:p w:rsidR="00A40F98" w:rsidRPr="001C21DC" w:rsidRDefault="00A40F98" w:rsidP="000F7E70">
      <w:pPr>
        <w:autoSpaceDE w:val="0"/>
        <w:jc w:val="both"/>
        <w:rPr>
          <w:lang w:val="en-GB"/>
        </w:rPr>
      </w:pPr>
      <w:r w:rsidRPr="001C21DC">
        <w:rPr>
          <w:lang w:val="en-GB"/>
        </w:rPr>
        <w:t xml:space="preserve">Françoise </w:t>
      </w:r>
      <w:r w:rsidR="002C03BD" w:rsidRPr="001C21DC">
        <w:rPr>
          <w:lang w:val="en-GB"/>
        </w:rPr>
        <w:t>T</w:t>
      </w:r>
      <w:r w:rsidR="00FD2F8E" w:rsidRPr="001C21DC">
        <w:rPr>
          <w:lang w:val="en-GB"/>
        </w:rPr>
        <w:t>ulkens</w:t>
      </w:r>
    </w:p>
    <w:p w:rsidR="000F7E70" w:rsidRPr="001C21DC" w:rsidRDefault="000F7E70" w:rsidP="000F7E70">
      <w:pPr>
        <w:autoSpaceDE w:val="0"/>
        <w:jc w:val="both"/>
        <w:rPr>
          <w:lang w:val="en-GB"/>
        </w:rPr>
      </w:pPr>
    </w:p>
    <w:p w:rsidR="000F7E70" w:rsidRPr="001C21DC" w:rsidRDefault="00E07C8C" w:rsidP="000F7E70">
      <w:pPr>
        <w:autoSpaceDE w:val="0"/>
        <w:jc w:val="both"/>
        <w:rPr>
          <w:lang w:val="en-GB"/>
        </w:rPr>
      </w:pPr>
      <w:r w:rsidRPr="001C21DC">
        <w:rPr>
          <w:lang w:val="en-GB"/>
        </w:rPr>
        <w:t>Assisted by</w:t>
      </w:r>
    </w:p>
    <w:p w:rsidR="00E07C8C" w:rsidRPr="001C21DC" w:rsidRDefault="00E07C8C" w:rsidP="000F7E70">
      <w:pPr>
        <w:autoSpaceDE w:val="0"/>
        <w:jc w:val="both"/>
        <w:rPr>
          <w:lang w:val="en-GB"/>
        </w:rPr>
      </w:pPr>
    </w:p>
    <w:p w:rsidR="000F7E70" w:rsidRPr="001C21DC" w:rsidRDefault="002F2BDB" w:rsidP="000F7E70">
      <w:pPr>
        <w:autoSpaceDE w:val="0"/>
        <w:jc w:val="both"/>
        <w:rPr>
          <w:lang w:val="en-GB"/>
        </w:rPr>
      </w:pPr>
      <w:r w:rsidRPr="001C21DC">
        <w:rPr>
          <w:lang w:val="en-GB"/>
        </w:rPr>
        <w:t xml:space="preserve">Andrey Antonov, </w:t>
      </w:r>
      <w:r w:rsidR="000F7E70" w:rsidRPr="001C21DC">
        <w:rPr>
          <w:lang w:val="en-GB"/>
        </w:rPr>
        <w:t>Executive Officer</w:t>
      </w:r>
    </w:p>
    <w:p w:rsidR="00E07C8C" w:rsidRPr="001C21DC" w:rsidRDefault="00E07C8C" w:rsidP="000F7E70">
      <w:pPr>
        <w:autoSpaceDE w:val="0"/>
        <w:jc w:val="both"/>
        <w:rPr>
          <w:lang w:val="en-GB"/>
        </w:rPr>
      </w:pPr>
    </w:p>
    <w:p w:rsidR="000F7E70" w:rsidRPr="001C21DC" w:rsidRDefault="000F7E70" w:rsidP="000F7E70">
      <w:pPr>
        <w:autoSpaceDE w:val="0"/>
        <w:jc w:val="both"/>
        <w:rPr>
          <w:lang w:val="en-GB"/>
        </w:rPr>
      </w:pPr>
      <w:r w:rsidRPr="001C21DC">
        <w:rPr>
          <w:lang w:val="en-GB"/>
        </w:rPr>
        <w:t>Having considered the aforementioned complaint, introduced pursuant to Section 1.2 of UNMIK Regulation No. 2006/12 of 23 March 2006 on the establishment of the Human Rights Advisory Panel,</w:t>
      </w:r>
    </w:p>
    <w:p w:rsidR="00C2375C" w:rsidRPr="001C21DC" w:rsidRDefault="00C2375C" w:rsidP="00C2375C">
      <w:pPr>
        <w:autoSpaceDE w:val="0"/>
        <w:autoSpaceDN w:val="0"/>
        <w:adjustRightInd w:val="0"/>
        <w:jc w:val="both"/>
        <w:rPr>
          <w:lang w:val="en-GB"/>
        </w:rPr>
      </w:pPr>
    </w:p>
    <w:p w:rsidR="000F7E70" w:rsidRPr="001C21DC" w:rsidRDefault="00C2375C" w:rsidP="00B462E9">
      <w:pPr>
        <w:autoSpaceDE w:val="0"/>
        <w:autoSpaceDN w:val="0"/>
        <w:adjustRightInd w:val="0"/>
        <w:jc w:val="both"/>
        <w:rPr>
          <w:lang w:val="en-GB"/>
        </w:rPr>
      </w:pPr>
      <w:r w:rsidRPr="001C21DC">
        <w:rPr>
          <w:lang w:val="en-GB"/>
        </w:rPr>
        <w:t xml:space="preserve">Having deliberated, </w:t>
      </w:r>
      <w:r w:rsidR="00CE2844" w:rsidRPr="001C21DC">
        <w:rPr>
          <w:lang w:val="en-GB"/>
        </w:rPr>
        <w:t xml:space="preserve">including through electronic means, </w:t>
      </w:r>
      <w:r w:rsidRPr="001C21DC">
        <w:rPr>
          <w:lang w:val="en-GB"/>
        </w:rPr>
        <w:t>in accordance with Rule 13 § 2 of its Rules of Procedure,</w:t>
      </w:r>
      <w:r w:rsidR="00B462E9" w:rsidRPr="001C21DC">
        <w:rPr>
          <w:lang w:val="en-GB"/>
        </w:rPr>
        <w:t xml:space="preserve"> </w:t>
      </w:r>
      <w:r w:rsidR="000F7E70" w:rsidRPr="001C21DC">
        <w:rPr>
          <w:lang w:val="en-GB"/>
        </w:rPr>
        <w:t>makes the following findings and recommendations:</w:t>
      </w:r>
    </w:p>
    <w:p w:rsidR="000F7E70" w:rsidRPr="001C21DC" w:rsidRDefault="000F7E70" w:rsidP="000F7E70">
      <w:pPr>
        <w:autoSpaceDE w:val="0"/>
        <w:jc w:val="both"/>
        <w:rPr>
          <w:lang w:val="en-GB"/>
        </w:rPr>
      </w:pPr>
      <w:r w:rsidRPr="001C21DC">
        <w:rPr>
          <w:lang w:val="en-GB"/>
        </w:rPr>
        <w:t xml:space="preserve"> </w:t>
      </w:r>
    </w:p>
    <w:p w:rsidR="0016154E" w:rsidRPr="001C21DC" w:rsidRDefault="0016154E" w:rsidP="000F7E70">
      <w:pPr>
        <w:autoSpaceDE w:val="0"/>
        <w:jc w:val="both"/>
        <w:rPr>
          <w:lang w:val="en-GB"/>
        </w:rPr>
      </w:pPr>
    </w:p>
    <w:p w:rsidR="0016154E" w:rsidRPr="001C21DC" w:rsidRDefault="0016154E" w:rsidP="003F48D3">
      <w:pPr>
        <w:numPr>
          <w:ilvl w:val="0"/>
          <w:numId w:val="1"/>
        </w:numPr>
        <w:suppressAutoHyphens/>
        <w:autoSpaceDE w:val="0"/>
        <w:ind w:left="360" w:hanging="360"/>
        <w:jc w:val="both"/>
        <w:rPr>
          <w:b/>
          <w:bCs/>
          <w:lang w:val="en-GB"/>
        </w:rPr>
      </w:pPr>
      <w:r w:rsidRPr="001C21DC">
        <w:rPr>
          <w:b/>
          <w:bCs/>
          <w:lang w:val="en-GB"/>
        </w:rPr>
        <w:t>PROCEEDINGS BEFORE THE PANEL</w:t>
      </w:r>
    </w:p>
    <w:p w:rsidR="00E327E1" w:rsidRPr="001C21DC" w:rsidRDefault="00E327E1" w:rsidP="00E327E1">
      <w:pPr>
        <w:pStyle w:val="Default"/>
        <w:ind w:left="360"/>
        <w:jc w:val="both"/>
        <w:rPr>
          <w:lang w:val="en-GB"/>
        </w:rPr>
      </w:pPr>
    </w:p>
    <w:p w:rsidR="00AC6F8E" w:rsidRPr="001C21DC" w:rsidRDefault="00AC6F8E" w:rsidP="00AC6F8E">
      <w:pPr>
        <w:pStyle w:val="Default"/>
        <w:numPr>
          <w:ilvl w:val="0"/>
          <w:numId w:val="2"/>
        </w:numPr>
        <w:jc w:val="both"/>
      </w:pPr>
      <w:r w:rsidRPr="00781253">
        <w:rPr>
          <w:lang w:val="en-GB"/>
        </w:rPr>
        <w:t>The</w:t>
      </w:r>
      <w:r w:rsidRPr="001C21DC">
        <w:t xml:space="preserve"> comp</w:t>
      </w:r>
      <w:r w:rsidR="004B52A2" w:rsidRPr="001C21DC">
        <w:t>lain</w:t>
      </w:r>
      <w:r w:rsidR="00AD007D" w:rsidRPr="001C21DC">
        <w:t xml:space="preserve">ts of </w:t>
      </w:r>
      <w:r w:rsidR="004B52A2" w:rsidRPr="001C21DC">
        <w:t>L.</w:t>
      </w:r>
      <w:r w:rsidRPr="001C21DC">
        <w:t>V</w:t>
      </w:r>
      <w:r w:rsidR="004B52A2" w:rsidRPr="001C21DC">
        <w:t>.</w:t>
      </w:r>
      <w:r w:rsidRPr="001C21DC">
        <w:t xml:space="preserve"> (case </w:t>
      </w:r>
      <w:r w:rsidR="004B52A2" w:rsidRPr="001C21DC">
        <w:t>no. 291/09) and M.Đ.</w:t>
      </w:r>
      <w:r w:rsidRPr="001C21DC">
        <w:t xml:space="preserve"> (case no. 292/09) were introduced on 24 April 2009 and registered on 1</w:t>
      </w:r>
      <w:r w:rsidR="00AD007D" w:rsidRPr="001C21DC">
        <w:t>5 May 2009. The complaint of</w:t>
      </w:r>
      <w:r w:rsidRPr="001C21DC">
        <w:t xml:space="preserve"> D.S. (case no. 296/09) was introduced on 29 May 2009 and registered on 2 June 2009. </w:t>
      </w:r>
    </w:p>
    <w:p w:rsidR="00AC6F8E" w:rsidRPr="001C21DC" w:rsidRDefault="00AC6F8E" w:rsidP="004D2A37">
      <w:pPr>
        <w:pStyle w:val="Default"/>
        <w:jc w:val="both"/>
      </w:pPr>
    </w:p>
    <w:p w:rsidR="006115E2" w:rsidRPr="001C21DC" w:rsidRDefault="00AC6F8E" w:rsidP="006115E2">
      <w:pPr>
        <w:pStyle w:val="Default"/>
        <w:numPr>
          <w:ilvl w:val="0"/>
          <w:numId w:val="2"/>
        </w:numPr>
        <w:jc w:val="both"/>
      </w:pPr>
      <w:r w:rsidRPr="001C21DC">
        <w:t xml:space="preserve">On 23 December </w:t>
      </w:r>
      <w:r w:rsidR="006115E2" w:rsidRPr="001C21DC">
        <w:t>2009</w:t>
      </w:r>
      <w:r w:rsidRPr="001C21DC">
        <w:t xml:space="preserve">, the Panel requested the complainant in case no. 292/09 to provide additional information. No response was received. </w:t>
      </w:r>
    </w:p>
    <w:p w:rsidR="00AC6F8E" w:rsidRPr="001C21DC" w:rsidRDefault="00AC6F8E" w:rsidP="00AC6F8E">
      <w:pPr>
        <w:pStyle w:val="ListParagraph"/>
      </w:pPr>
    </w:p>
    <w:p w:rsidR="00AC6F8E" w:rsidRPr="001C21DC" w:rsidRDefault="00AC6F8E" w:rsidP="00AC6F8E">
      <w:pPr>
        <w:pStyle w:val="Default"/>
        <w:numPr>
          <w:ilvl w:val="0"/>
          <w:numId w:val="2"/>
        </w:numPr>
        <w:jc w:val="both"/>
      </w:pPr>
      <w:r w:rsidRPr="001C21DC">
        <w:lastRenderedPageBreak/>
        <w:t>On 9 September 2010, the Panel decided to join case no. 291/09 and case no. 292/09 pursuant to Rule 20 of the Panel’s Rules of Procedure.</w:t>
      </w:r>
    </w:p>
    <w:p w:rsidR="006115E2" w:rsidRPr="001C21DC" w:rsidRDefault="006115E2" w:rsidP="006115E2">
      <w:pPr>
        <w:pStyle w:val="ListParagraph"/>
      </w:pPr>
    </w:p>
    <w:p w:rsidR="006115E2" w:rsidRPr="001C21DC" w:rsidRDefault="006115E2" w:rsidP="00AC6F8E">
      <w:pPr>
        <w:pStyle w:val="Default"/>
        <w:numPr>
          <w:ilvl w:val="0"/>
          <w:numId w:val="2"/>
        </w:numPr>
        <w:jc w:val="both"/>
      </w:pPr>
      <w:r w:rsidRPr="001C21DC">
        <w:t>On 29 September 2010, the Panel requested additional information to the complainant in case no. 296/09. No response was received.</w:t>
      </w:r>
    </w:p>
    <w:p w:rsidR="00AC6F8E" w:rsidRPr="001C21DC" w:rsidRDefault="00AC6F8E" w:rsidP="00AC6F8E">
      <w:pPr>
        <w:pStyle w:val="ListParagraph"/>
        <w:rPr>
          <w:color w:val="000000"/>
        </w:rPr>
      </w:pPr>
    </w:p>
    <w:p w:rsidR="00AC6F8E" w:rsidRPr="001C21DC" w:rsidRDefault="00AC6F8E" w:rsidP="006115E2">
      <w:pPr>
        <w:numPr>
          <w:ilvl w:val="0"/>
          <w:numId w:val="2"/>
        </w:numPr>
        <w:jc w:val="both"/>
        <w:rPr>
          <w:color w:val="000000"/>
        </w:rPr>
      </w:pPr>
      <w:r w:rsidRPr="001C21DC">
        <w:rPr>
          <w:color w:val="000000"/>
        </w:rPr>
        <w:t xml:space="preserve">On 6 October 2010, the Panel submitted a request for further information to </w:t>
      </w:r>
      <w:r w:rsidR="006115E2" w:rsidRPr="001C21DC">
        <w:rPr>
          <w:color w:val="000000"/>
        </w:rPr>
        <w:t xml:space="preserve">the </w:t>
      </w:r>
      <w:r w:rsidR="001521F4" w:rsidRPr="001C21DC">
        <w:rPr>
          <w:color w:val="000000"/>
        </w:rPr>
        <w:t>complainants in cases nos</w:t>
      </w:r>
      <w:r w:rsidRPr="001C21DC">
        <w:rPr>
          <w:color w:val="000000"/>
        </w:rPr>
        <w:t xml:space="preserve"> 291/09 and 292/09. </w:t>
      </w:r>
      <w:r w:rsidR="006115E2" w:rsidRPr="001C21DC">
        <w:rPr>
          <w:color w:val="000000"/>
        </w:rPr>
        <w:t>On 24 November 2010, the Panel reiterated its request for additional information to the complainant in case no. 292/09. However, n</w:t>
      </w:r>
      <w:r w:rsidRPr="001C21DC">
        <w:rPr>
          <w:color w:val="000000"/>
        </w:rPr>
        <w:t>o response was received.</w:t>
      </w:r>
    </w:p>
    <w:p w:rsidR="00AC6F8E" w:rsidRPr="001C21DC" w:rsidRDefault="00AC6F8E" w:rsidP="00AC6F8E">
      <w:pPr>
        <w:pStyle w:val="ListParagraph"/>
        <w:rPr>
          <w:color w:val="000000"/>
        </w:rPr>
      </w:pPr>
    </w:p>
    <w:p w:rsidR="006115E2" w:rsidRPr="001C21DC" w:rsidRDefault="00AC6F8E" w:rsidP="006115E2">
      <w:pPr>
        <w:numPr>
          <w:ilvl w:val="0"/>
          <w:numId w:val="2"/>
        </w:numPr>
        <w:jc w:val="both"/>
        <w:rPr>
          <w:color w:val="000000"/>
        </w:rPr>
      </w:pPr>
      <w:r w:rsidRPr="001C21DC">
        <w:rPr>
          <w:color w:val="000000"/>
        </w:rPr>
        <w:t>On 4 March 2011, the Panel asked the</w:t>
      </w:r>
      <w:r w:rsidR="004D2A37" w:rsidRPr="001C21DC">
        <w:t xml:space="preserve"> Special Representative of the Secretary-General (SRSG)</w:t>
      </w:r>
      <w:r w:rsidR="00DE64DC" w:rsidRPr="001C21DC">
        <w:rPr>
          <w:vertAlign w:val="superscript"/>
          <w:lang w:val="en-GB"/>
        </w:rPr>
        <w:footnoteReference w:id="1"/>
      </w:r>
      <w:r w:rsidR="004D2A37" w:rsidRPr="001C21DC">
        <w:t xml:space="preserve"> </w:t>
      </w:r>
      <w:r w:rsidRPr="001C21DC">
        <w:rPr>
          <w:color w:val="000000"/>
        </w:rPr>
        <w:t xml:space="preserve">whether UNMIK could comment on information published in the media, which could have some bearing on the case. The SRSG </w:t>
      </w:r>
      <w:r w:rsidR="006115E2" w:rsidRPr="001C21DC">
        <w:rPr>
          <w:color w:val="000000"/>
        </w:rPr>
        <w:t>submitted UNMIK’s response</w:t>
      </w:r>
      <w:r w:rsidRPr="001C21DC">
        <w:rPr>
          <w:color w:val="000000"/>
        </w:rPr>
        <w:t xml:space="preserve"> on 24 March 2011.</w:t>
      </w:r>
    </w:p>
    <w:p w:rsidR="006115E2" w:rsidRPr="001C21DC" w:rsidRDefault="006115E2" w:rsidP="006115E2">
      <w:pPr>
        <w:pStyle w:val="ListParagraph"/>
        <w:rPr>
          <w:color w:val="000000"/>
        </w:rPr>
      </w:pPr>
    </w:p>
    <w:p w:rsidR="004D2A37" w:rsidRPr="001C21DC" w:rsidRDefault="006115E2" w:rsidP="006115E2">
      <w:pPr>
        <w:numPr>
          <w:ilvl w:val="0"/>
          <w:numId w:val="2"/>
        </w:numPr>
        <w:jc w:val="both"/>
        <w:rPr>
          <w:color w:val="000000"/>
        </w:rPr>
      </w:pPr>
      <w:r w:rsidRPr="001C21DC">
        <w:rPr>
          <w:color w:val="000000"/>
        </w:rPr>
        <w:t xml:space="preserve">On 19 April 2011, </w:t>
      </w:r>
      <w:r w:rsidR="008E7019" w:rsidRPr="001C21DC">
        <w:rPr>
          <w:color w:val="000000"/>
        </w:rPr>
        <w:t>the Panel communicated cases nos</w:t>
      </w:r>
      <w:r w:rsidRPr="001C21DC">
        <w:rPr>
          <w:color w:val="000000"/>
        </w:rPr>
        <w:t xml:space="preserve"> 291/09 and 292/09 and case</w:t>
      </w:r>
      <w:r w:rsidR="008E7019" w:rsidRPr="001C21DC">
        <w:rPr>
          <w:color w:val="000000"/>
        </w:rPr>
        <w:t xml:space="preserve"> no</w:t>
      </w:r>
      <w:r w:rsidR="003E55C2">
        <w:rPr>
          <w:color w:val="000000"/>
        </w:rPr>
        <w:t>.</w:t>
      </w:r>
      <w:r w:rsidR="004D2A37" w:rsidRPr="001C21DC">
        <w:rPr>
          <w:color w:val="000000"/>
        </w:rPr>
        <w:t xml:space="preserve"> 296/09</w:t>
      </w:r>
      <w:r w:rsidRPr="001C21DC">
        <w:rPr>
          <w:color w:val="000000"/>
        </w:rPr>
        <w:t xml:space="preserve"> to the SRSG for UNMIK’s comments on their admissibility. </w:t>
      </w:r>
    </w:p>
    <w:p w:rsidR="004D2A37" w:rsidRPr="001C21DC" w:rsidRDefault="004D2A37" w:rsidP="004D2A37">
      <w:pPr>
        <w:pStyle w:val="ListParagraph"/>
        <w:rPr>
          <w:color w:val="000000"/>
        </w:rPr>
      </w:pPr>
    </w:p>
    <w:p w:rsidR="006115E2" w:rsidRPr="001C21DC" w:rsidRDefault="006115E2" w:rsidP="006115E2">
      <w:pPr>
        <w:numPr>
          <w:ilvl w:val="0"/>
          <w:numId w:val="2"/>
        </w:numPr>
        <w:jc w:val="both"/>
        <w:rPr>
          <w:color w:val="000000"/>
        </w:rPr>
      </w:pPr>
      <w:r w:rsidRPr="001C21DC">
        <w:rPr>
          <w:color w:val="000000"/>
        </w:rPr>
        <w:t>On 31 May 2011, the SRSG submitted UNMIK’s response</w:t>
      </w:r>
      <w:r w:rsidR="001521F4" w:rsidRPr="001C21DC">
        <w:rPr>
          <w:color w:val="000000"/>
        </w:rPr>
        <w:t xml:space="preserve"> with respect to cases nos</w:t>
      </w:r>
      <w:r w:rsidR="004D2A37" w:rsidRPr="001C21DC">
        <w:rPr>
          <w:color w:val="000000"/>
        </w:rPr>
        <w:t xml:space="preserve"> 291/09 and 292/09</w:t>
      </w:r>
      <w:r w:rsidRPr="001C21DC">
        <w:rPr>
          <w:color w:val="000000"/>
        </w:rPr>
        <w:t>.</w:t>
      </w:r>
      <w:r w:rsidR="004D2A37" w:rsidRPr="001C21DC">
        <w:rPr>
          <w:color w:val="000000"/>
        </w:rPr>
        <w:t xml:space="preserve"> On 29 July 2011, the SRSG submitted UNMIK’s response with respect to case no. 296/09.  </w:t>
      </w:r>
    </w:p>
    <w:p w:rsidR="004D2A37" w:rsidRPr="001C21DC" w:rsidRDefault="004D2A37" w:rsidP="004D2A37">
      <w:pPr>
        <w:pStyle w:val="ListParagraph"/>
        <w:rPr>
          <w:color w:val="000000"/>
        </w:rPr>
      </w:pPr>
    </w:p>
    <w:p w:rsidR="00165A6E" w:rsidRPr="001C21DC" w:rsidRDefault="00165A6E" w:rsidP="00165A6E">
      <w:pPr>
        <w:pStyle w:val="Default"/>
        <w:numPr>
          <w:ilvl w:val="0"/>
          <w:numId w:val="2"/>
        </w:numPr>
        <w:jc w:val="both"/>
        <w:rPr>
          <w:lang w:val="en-GB"/>
        </w:rPr>
      </w:pPr>
      <w:r w:rsidRPr="001C21DC">
        <w:t>On 16 De</w:t>
      </w:r>
      <w:r w:rsidR="00C643D1" w:rsidRPr="001C21DC">
        <w:t>cember 201</w:t>
      </w:r>
      <w:r w:rsidRPr="001C21DC">
        <w:t xml:space="preserve">1, the Panel declared case no. 296/09 admissible. </w:t>
      </w:r>
      <w:r w:rsidRPr="001C21DC">
        <w:rPr>
          <w:color w:val="auto"/>
          <w:lang w:val="en-GB"/>
        </w:rPr>
        <w:t xml:space="preserve">On 19 December 2011, </w:t>
      </w:r>
      <w:r w:rsidRPr="001C21DC">
        <w:rPr>
          <w:lang w:val="en-GB"/>
        </w:rPr>
        <w:t>the Panel forwarded its decision to the SRSG requesting UNMIK’s comments on the merits of the complaint, as well as copies of all police, fore</w:t>
      </w:r>
      <w:r w:rsidR="001521F4" w:rsidRPr="001C21DC">
        <w:rPr>
          <w:lang w:val="en-GB"/>
        </w:rPr>
        <w:t>nsic and other investigative</w:t>
      </w:r>
      <w:r w:rsidRPr="001C21DC">
        <w:rPr>
          <w:lang w:val="en-GB"/>
        </w:rPr>
        <w:t xml:space="preserve"> files relied upon by UNMIK in preparation of its response. The SRSG provided UNMIK’s response with respect to case no. 296/09 on 5 March 2012. </w:t>
      </w:r>
    </w:p>
    <w:p w:rsidR="00165A6E" w:rsidRPr="001C21DC" w:rsidRDefault="00165A6E" w:rsidP="00165A6E">
      <w:pPr>
        <w:pStyle w:val="ListParagraph"/>
        <w:rPr>
          <w:color w:val="000000"/>
        </w:rPr>
      </w:pPr>
    </w:p>
    <w:p w:rsidR="00165A6E" w:rsidRPr="001C21DC" w:rsidRDefault="004D2A37" w:rsidP="006115E2">
      <w:pPr>
        <w:numPr>
          <w:ilvl w:val="0"/>
          <w:numId w:val="2"/>
        </w:numPr>
        <w:jc w:val="both"/>
        <w:rPr>
          <w:color w:val="000000"/>
        </w:rPr>
      </w:pPr>
      <w:r w:rsidRPr="001C21DC">
        <w:rPr>
          <w:color w:val="000000"/>
        </w:rPr>
        <w:t>On 26 September 20</w:t>
      </w:r>
      <w:r w:rsidR="001521F4" w:rsidRPr="001C21DC">
        <w:rPr>
          <w:color w:val="000000"/>
        </w:rPr>
        <w:t>12, the Panel declared cases nos</w:t>
      </w:r>
      <w:r w:rsidRPr="001C21DC">
        <w:rPr>
          <w:color w:val="000000"/>
        </w:rPr>
        <w:t xml:space="preserve"> 291/09 and 292/09 admissible. </w:t>
      </w:r>
      <w:r w:rsidR="00165A6E" w:rsidRPr="001C21DC">
        <w:rPr>
          <w:color w:val="000000"/>
        </w:rPr>
        <w:t xml:space="preserve">On 15 October 2012, </w:t>
      </w:r>
      <w:r w:rsidR="00165A6E" w:rsidRPr="001C21DC">
        <w:rPr>
          <w:lang w:val="en-GB"/>
        </w:rPr>
        <w:t xml:space="preserve">the Panel forwarded its decision to the SRSG requesting UNMIK’s comments on the merits of the complaints, as well as copies of all police, </w:t>
      </w:r>
      <w:r w:rsidR="001521F4" w:rsidRPr="001C21DC">
        <w:rPr>
          <w:lang w:val="en-GB"/>
        </w:rPr>
        <w:t>forensic and other investigative</w:t>
      </w:r>
      <w:r w:rsidR="00165A6E" w:rsidRPr="001C21DC">
        <w:rPr>
          <w:lang w:val="en-GB"/>
        </w:rPr>
        <w:t xml:space="preserve"> files relied upon by UNMIK in preparation of its response. </w:t>
      </w:r>
    </w:p>
    <w:p w:rsidR="00C643D1" w:rsidRPr="001C21DC" w:rsidRDefault="00C643D1" w:rsidP="00C643D1">
      <w:pPr>
        <w:pStyle w:val="ListParagraph"/>
        <w:rPr>
          <w:color w:val="000000"/>
        </w:rPr>
      </w:pPr>
    </w:p>
    <w:p w:rsidR="00C643D1" w:rsidRPr="001C21DC" w:rsidRDefault="00C643D1" w:rsidP="00C643D1">
      <w:pPr>
        <w:numPr>
          <w:ilvl w:val="0"/>
          <w:numId w:val="2"/>
        </w:numPr>
        <w:jc w:val="both"/>
        <w:rPr>
          <w:color w:val="000000"/>
        </w:rPr>
      </w:pPr>
      <w:r w:rsidRPr="001C21DC">
        <w:rPr>
          <w:color w:val="000000"/>
        </w:rPr>
        <w:t>Following the Panel’s inquiries, on 4 October 2012, UNMIK requested the Archives and Records Management Section of the United Nations’ (UN) Headquarters in New York to locate and return to UNMIK a number of investigative files related to the complaints before the HRAP.</w:t>
      </w:r>
    </w:p>
    <w:p w:rsidR="00C643D1" w:rsidRPr="001C21DC" w:rsidRDefault="00C643D1" w:rsidP="00C643D1">
      <w:pPr>
        <w:ind w:left="360"/>
        <w:jc w:val="both"/>
        <w:rPr>
          <w:color w:val="000000"/>
        </w:rPr>
      </w:pPr>
    </w:p>
    <w:p w:rsidR="00C643D1" w:rsidRPr="001C21DC" w:rsidRDefault="00C643D1" w:rsidP="00C643D1">
      <w:pPr>
        <w:numPr>
          <w:ilvl w:val="0"/>
          <w:numId w:val="2"/>
        </w:numPr>
        <w:jc w:val="both"/>
        <w:rPr>
          <w:color w:val="000000"/>
        </w:rPr>
      </w:pPr>
      <w:r w:rsidRPr="001C21DC">
        <w:rPr>
          <w:color w:val="000000"/>
        </w:rPr>
        <w:t>On 14 December 2012, UNMIK received the requested investigative files from the UN Headquarters in New York. On 17 December 2012, UNMIK presented those documents, including the files related to these complaints, to the Panel.</w:t>
      </w:r>
    </w:p>
    <w:p w:rsidR="00165A6E" w:rsidRPr="001C21DC" w:rsidRDefault="00165A6E" w:rsidP="004B52A2">
      <w:pPr>
        <w:rPr>
          <w:color w:val="000000"/>
        </w:rPr>
      </w:pPr>
    </w:p>
    <w:p w:rsidR="00165A6E" w:rsidRPr="001C21DC" w:rsidRDefault="00165A6E" w:rsidP="006115E2">
      <w:pPr>
        <w:numPr>
          <w:ilvl w:val="0"/>
          <w:numId w:val="2"/>
        </w:numPr>
        <w:jc w:val="both"/>
        <w:rPr>
          <w:color w:val="000000"/>
        </w:rPr>
      </w:pPr>
      <w:r w:rsidRPr="001C21DC">
        <w:rPr>
          <w:color w:val="000000"/>
        </w:rPr>
        <w:t xml:space="preserve">On 22 April 2014, the Panel </w:t>
      </w:r>
      <w:r w:rsidRPr="001C21DC">
        <w:t>the Panel decided to join the three complaints pursuant to Rule 20 of the Panel’s Rules of Procedure.</w:t>
      </w:r>
    </w:p>
    <w:p w:rsidR="00037634" w:rsidRPr="001C21DC" w:rsidRDefault="00037634" w:rsidP="00037634">
      <w:pPr>
        <w:pStyle w:val="ListParagraph"/>
        <w:rPr>
          <w:color w:val="000000"/>
        </w:rPr>
      </w:pPr>
    </w:p>
    <w:p w:rsidR="004D2A37" w:rsidRPr="001C21DC" w:rsidRDefault="00037634" w:rsidP="00037634">
      <w:pPr>
        <w:numPr>
          <w:ilvl w:val="0"/>
          <w:numId w:val="2"/>
        </w:numPr>
        <w:jc w:val="both"/>
        <w:rPr>
          <w:color w:val="000000"/>
        </w:rPr>
      </w:pPr>
      <w:r w:rsidRPr="001C21DC">
        <w:rPr>
          <w:color w:val="000000"/>
        </w:rPr>
        <w:lastRenderedPageBreak/>
        <w:t xml:space="preserve">On 23 April 2014, the Panel communicated its decision to join the cases to the SRSG and invited UNMIK’s comments on the merits of the three cases, also in light of the joinder decision. </w:t>
      </w:r>
      <w:r w:rsidR="00165A6E" w:rsidRPr="001C21DC">
        <w:rPr>
          <w:lang w:val="en-GB"/>
        </w:rPr>
        <w:t>On 20 May 2014, the SRSG provided UNMIK’</w:t>
      </w:r>
      <w:r w:rsidR="00DC7D84" w:rsidRPr="001C21DC">
        <w:rPr>
          <w:lang w:val="en-GB"/>
        </w:rPr>
        <w:t xml:space="preserve">s </w:t>
      </w:r>
      <w:r w:rsidRPr="001C21DC">
        <w:rPr>
          <w:lang w:val="en-GB"/>
        </w:rPr>
        <w:t>response</w:t>
      </w:r>
      <w:r w:rsidR="00DC7D84" w:rsidRPr="001C21DC">
        <w:rPr>
          <w:lang w:val="en-GB"/>
        </w:rPr>
        <w:t xml:space="preserve">. </w:t>
      </w:r>
    </w:p>
    <w:p w:rsidR="00DC7D84" w:rsidRPr="001C21DC" w:rsidRDefault="00DC7D84" w:rsidP="00DC7D84">
      <w:pPr>
        <w:pStyle w:val="ListParagraph"/>
        <w:rPr>
          <w:color w:val="000000"/>
        </w:rPr>
      </w:pPr>
    </w:p>
    <w:p w:rsidR="00421B80" w:rsidRPr="001C21DC" w:rsidRDefault="00DC7D84" w:rsidP="00421B80">
      <w:pPr>
        <w:numPr>
          <w:ilvl w:val="0"/>
          <w:numId w:val="2"/>
        </w:numPr>
        <w:jc w:val="both"/>
        <w:rPr>
          <w:color w:val="000000"/>
        </w:rPr>
      </w:pPr>
      <w:r w:rsidRPr="001C21DC">
        <w:rPr>
          <w:color w:val="000000"/>
        </w:rPr>
        <w:t xml:space="preserve">On 2 June 2014, </w:t>
      </w:r>
      <w:r w:rsidR="000F6E16" w:rsidRPr="001C21DC">
        <w:rPr>
          <w:lang w:val="en-GB"/>
        </w:rPr>
        <w:t xml:space="preserve">the Panel requested UNMIK to confirm </w:t>
      </w:r>
      <w:r w:rsidR="00472CDF" w:rsidRPr="001C21DC">
        <w:rPr>
          <w:lang w:val="en-GB"/>
        </w:rPr>
        <w:t>that</w:t>
      </w:r>
      <w:r w:rsidR="000F6E16" w:rsidRPr="001C21DC">
        <w:rPr>
          <w:lang w:val="en-GB"/>
        </w:rPr>
        <w:t xml:space="preserve"> the disclosure of files concerning the case could be considered final.</w:t>
      </w:r>
      <w:r w:rsidR="00037634" w:rsidRPr="001C21DC">
        <w:rPr>
          <w:lang w:val="en-GB"/>
        </w:rPr>
        <w:t xml:space="preserve"> </w:t>
      </w:r>
      <w:r w:rsidRPr="001C21DC">
        <w:rPr>
          <w:color w:val="000000" w:themeColor="text1"/>
          <w:lang w:val="en-GB"/>
        </w:rPr>
        <w:t>On</w:t>
      </w:r>
      <w:r w:rsidR="00037634" w:rsidRPr="001C21DC">
        <w:rPr>
          <w:color w:val="000000" w:themeColor="text1"/>
          <w:lang w:val="en-GB"/>
        </w:rPr>
        <w:t xml:space="preserve"> 6</w:t>
      </w:r>
      <w:r w:rsidRPr="001C21DC">
        <w:rPr>
          <w:color w:val="000000" w:themeColor="text1"/>
          <w:lang w:val="en-GB"/>
        </w:rPr>
        <w:t xml:space="preserve"> June 2014</w:t>
      </w:r>
      <w:r w:rsidR="008766C9" w:rsidRPr="001C21DC">
        <w:rPr>
          <w:color w:val="000000" w:themeColor="text1"/>
          <w:lang w:val="en-GB"/>
        </w:rPr>
        <w:t>, the SRSG provided UNMIK’s response.</w:t>
      </w:r>
    </w:p>
    <w:p w:rsidR="00421B80" w:rsidRPr="001C21DC" w:rsidRDefault="00421B80" w:rsidP="00421B80">
      <w:pPr>
        <w:pStyle w:val="ListParagraph"/>
        <w:rPr>
          <w:color w:val="000000" w:themeColor="text1"/>
          <w:lang w:val="en-GB"/>
        </w:rPr>
      </w:pPr>
    </w:p>
    <w:p w:rsidR="00037634" w:rsidRPr="001C21DC" w:rsidRDefault="00421B80" w:rsidP="00FF1F95">
      <w:pPr>
        <w:pStyle w:val="Default"/>
        <w:numPr>
          <w:ilvl w:val="0"/>
          <w:numId w:val="2"/>
        </w:numPr>
        <w:jc w:val="both"/>
        <w:rPr>
          <w:color w:val="000000" w:themeColor="text1"/>
          <w:lang w:val="en-GB"/>
        </w:rPr>
      </w:pPr>
      <w:r w:rsidRPr="001C21DC">
        <w:rPr>
          <w:color w:val="000000" w:themeColor="text1"/>
          <w:lang w:val="en-GB"/>
        </w:rPr>
        <w:t>On 4 June 2014, the Panel requested additional clarifications from EULEX, which responded on 5 June 2014</w:t>
      </w:r>
      <w:r w:rsidR="004B52A2" w:rsidRPr="001C21DC">
        <w:rPr>
          <w:color w:val="000000" w:themeColor="text1"/>
          <w:lang w:val="en-GB"/>
        </w:rPr>
        <w:t>.</w:t>
      </w:r>
    </w:p>
    <w:p w:rsidR="000F5F92" w:rsidRDefault="000F5F92" w:rsidP="00DC7D84">
      <w:pPr>
        <w:rPr>
          <w:lang w:val="en-GB"/>
        </w:rPr>
      </w:pPr>
    </w:p>
    <w:p w:rsidR="00B8654E" w:rsidRPr="001C21DC" w:rsidRDefault="00B8654E" w:rsidP="00DC7D84">
      <w:pPr>
        <w:rPr>
          <w:lang w:val="en-GB"/>
        </w:rPr>
      </w:pPr>
    </w:p>
    <w:p w:rsidR="000F6E16" w:rsidRPr="001C21DC" w:rsidRDefault="007C65E0" w:rsidP="003F48D3">
      <w:pPr>
        <w:numPr>
          <w:ilvl w:val="0"/>
          <w:numId w:val="1"/>
        </w:numPr>
        <w:suppressAutoHyphens/>
        <w:autoSpaceDE w:val="0"/>
        <w:ind w:left="360" w:hanging="360"/>
        <w:jc w:val="both"/>
        <w:rPr>
          <w:b/>
          <w:bCs/>
          <w:lang w:val="en-GB"/>
        </w:rPr>
      </w:pPr>
      <w:r w:rsidRPr="001C21DC">
        <w:rPr>
          <w:b/>
          <w:bCs/>
          <w:lang w:val="en-GB"/>
        </w:rPr>
        <w:t>THE FACTS</w:t>
      </w:r>
    </w:p>
    <w:p w:rsidR="000F6E16" w:rsidRPr="001C21DC" w:rsidRDefault="000F6E16" w:rsidP="000F6E16">
      <w:pPr>
        <w:suppressAutoHyphens/>
        <w:autoSpaceDE w:val="0"/>
        <w:ind w:left="360"/>
        <w:jc w:val="both"/>
        <w:rPr>
          <w:b/>
          <w:bCs/>
          <w:lang w:val="en-GB"/>
        </w:rPr>
      </w:pPr>
    </w:p>
    <w:p w:rsidR="00680EF0" w:rsidRPr="001C21DC" w:rsidRDefault="00680EF0" w:rsidP="003F48D3">
      <w:pPr>
        <w:numPr>
          <w:ilvl w:val="0"/>
          <w:numId w:val="3"/>
        </w:numPr>
        <w:contextualSpacing/>
        <w:jc w:val="both"/>
        <w:rPr>
          <w:b/>
          <w:lang w:val="en-GB"/>
        </w:rPr>
      </w:pPr>
      <w:r w:rsidRPr="001C21DC">
        <w:rPr>
          <w:b/>
          <w:lang w:val="en-GB"/>
        </w:rPr>
        <w:t>General background</w:t>
      </w:r>
      <w:r w:rsidRPr="001C21DC">
        <w:rPr>
          <w:rStyle w:val="FootnoteReference"/>
          <w:b/>
          <w:lang w:val="en-GB"/>
        </w:rPr>
        <w:footnoteReference w:id="2"/>
      </w:r>
      <w:r w:rsidRPr="001C21DC">
        <w:rPr>
          <w:b/>
          <w:lang w:val="en-GB"/>
        </w:rPr>
        <w:t xml:space="preserve"> </w:t>
      </w:r>
    </w:p>
    <w:p w:rsidR="00680EF0" w:rsidRPr="001C21DC" w:rsidRDefault="00680EF0" w:rsidP="00680EF0">
      <w:pPr>
        <w:ind w:left="360"/>
        <w:contextualSpacing/>
        <w:jc w:val="both"/>
        <w:rPr>
          <w:b/>
          <w:lang w:val="en-GB"/>
        </w:rPr>
      </w:pPr>
    </w:p>
    <w:p w:rsidR="00C75A82" w:rsidRPr="001C21DC" w:rsidRDefault="00C75A82" w:rsidP="003F48D3">
      <w:pPr>
        <w:pStyle w:val="ListParagraph"/>
        <w:widowControl w:val="0"/>
        <w:numPr>
          <w:ilvl w:val="0"/>
          <w:numId w:val="2"/>
        </w:numPr>
        <w:tabs>
          <w:tab w:val="left" w:pos="1080"/>
        </w:tabs>
        <w:jc w:val="both"/>
        <w:rPr>
          <w:lang w:val="en-GB"/>
        </w:rPr>
      </w:pPr>
      <w:r w:rsidRPr="001C21DC">
        <w:rPr>
          <w:lang w:val="en-GB"/>
        </w:rPr>
        <w:t>The events at issue took place in the territory of Kosovo</w:t>
      </w:r>
      <w:r w:rsidR="00B518F7" w:rsidRPr="001C21DC">
        <w:rPr>
          <w:lang w:val="en-GB"/>
        </w:rPr>
        <w:t xml:space="preserve"> shortly</w:t>
      </w:r>
      <w:r w:rsidRPr="001C21DC">
        <w:rPr>
          <w:lang w:val="en-GB"/>
        </w:rPr>
        <w:t xml:space="preserve"> after the establishment </w:t>
      </w:r>
      <w:r w:rsidR="00B11B50" w:rsidRPr="001C21DC">
        <w:rPr>
          <w:lang w:val="en-GB"/>
        </w:rPr>
        <w:t xml:space="preserve">in June 1999 </w:t>
      </w:r>
      <w:r w:rsidRPr="001C21DC">
        <w:rPr>
          <w:lang w:val="en-GB"/>
        </w:rPr>
        <w:t xml:space="preserve">of the United Nations Interim Administration Mission in Kosovo (UNMIK). </w:t>
      </w:r>
    </w:p>
    <w:p w:rsidR="00C75A82" w:rsidRPr="001C21DC" w:rsidRDefault="00C75A82" w:rsidP="00C75A82">
      <w:pPr>
        <w:tabs>
          <w:tab w:val="left" w:pos="360"/>
        </w:tabs>
        <w:ind w:left="360" w:hanging="360"/>
        <w:jc w:val="both"/>
        <w:rPr>
          <w:lang w:val="en-GB"/>
        </w:rPr>
      </w:pPr>
    </w:p>
    <w:p w:rsidR="00C75A82" w:rsidRPr="001C21DC" w:rsidRDefault="00C75A82" w:rsidP="003F48D3">
      <w:pPr>
        <w:widowControl w:val="0"/>
        <w:numPr>
          <w:ilvl w:val="0"/>
          <w:numId w:val="2"/>
        </w:numPr>
        <w:tabs>
          <w:tab w:val="left" w:pos="1080"/>
        </w:tabs>
        <w:suppressAutoHyphens/>
        <w:jc w:val="both"/>
        <w:rPr>
          <w:lang w:val="en-GB"/>
        </w:rPr>
      </w:pPr>
      <w:bookmarkStart w:id="1" w:name="_Ref390950916"/>
      <w:r w:rsidRPr="001C21DC">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w:t>
      </w:r>
      <w:r w:rsidR="00304EBA" w:rsidRPr="001C21DC">
        <w:rPr>
          <w:lang w:val="en-GB"/>
        </w:rPr>
        <w:t xml:space="preserve">Military </w:t>
      </w:r>
      <w:r w:rsidRPr="001C21DC">
        <w:rPr>
          <w:lang w:val="en-GB"/>
        </w:rPr>
        <w:t>Technical Agreement” by which they agreed on FRY withdrawal from Kosovo and the presence of an international security force following an appropriate UN Security Council Resolution.</w:t>
      </w:r>
      <w:bookmarkEnd w:id="1"/>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r w:rsidRPr="001C21D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numPr>
          <w:ilvl w:val="0"/>
          <w:numId w:val="2"/>
        </w:numPr>
        <w:jc w:val="both"/>
        <w:rPr>
          <w:lang w:val="en-GB"/>
        </w:rPr>
      </w:pPr>
      <w:bookmarkStart w:id="2" w:name="_Ref346725038"/>
      <w:r w:rsidRPr="001C21D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2"/>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3" w:name="_Ref346123767"/>
      <w:r w:rsidRPr="001C21DC">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4" w:name="_Ref346725040"/>
      <w:r w:rsidRPr="001C21DC">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w:t>
      </w:r>
      <w:r w:rsidR="00150015" w:rsidRPr="001C21DC">
        <w:rPr>
          <w:lang w:val="en-GB"/>
        </w:rPr>
        <w:t xml:space="preserve"> a MoU</w:t>
      </w:r>
      <w:r w:rsidRPr="001C21DC">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4"/>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5" w:name="_Ref346123927"/>
      <w:r w:rsidRPr="001C21D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C75A82" w:rsidRPr="001C21DC" w:rsidRDefault="00C75A82" w:rsidP="00C75A82">
      <w:pPr>
        <w:pStyle w:val="ListParagraph"/>
        <w:tabs>
          <w:tab w:val="left" w:pos="360"/>
        </w:tabs>
        <w:ind w:left="360" w:hanging="360"/>
        <w:rPr>
          <w:lang w:val="en-GB"/>
        </w:rPr>
      </w:pPr>
    </w:p>
    <w:p w:rsidR="00680EF0" w:rsidRPr="001C21DC" w:rsidRDefault="00C75A82" w:rsidP="003F48D3">
      <w:pPr>
        <w:numPr>
          <w:ilvl w:val="0"/>
          <w:numId w:val="2"/>
        </w:numPr>
        <w:jc w:val="both"/>
        <w:rPr>
          <w:lang w:val="en-GB"/>
        </w:rPr>
      </w:pPr>
      <w:bookmarkStart w:id="6" w:name="_Ref346123928"/>
      <w:r w:rsidRPr="001C21DC">
        <w:rPr>
          <w:lang w:val="en-GB"/>
        </w:rPr>
        <w:t>On the same</w:t>
      </w:r>
      <w:r w:rsidR="00150015" w:rsidRPr="001C21DC">
        <w:rPr>
          <w:lang w:val="en-GB"/>
        </w:rPr>
        <w:t xml:space="preserve"> date, UNMIK and EULEX signed an agreement </w:t>
      </w:r>
      <w:r w:rsidRPr="001C21DC">
        <w:rPr>
          <w:lang w:val="en-GB"/>
        </w:rPr>
        <w:t xml:space="preserve">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11B50" w:rsidRPr="001C21DC">
        <w:rPr>
          <w:lang w:val="en-GB"/>
        </w:rPr>
        <w:t xml:space="preserve">supposed to be </w:t>
      </w:r>
      <w:r w:rsidRPr="001C21DC">
        <w:rPr>
          <w:lang w:val="en-GB"/>
        </w:rPr>
        <w:t>handed over to EULEX.</w:t>
      </w:r>
      <w:bookmarkEnd w:id="6"/>
    </w:p>
    <w:p w:rsidR="00C0731E" w:rsidRPr="001C21DC" w:rsidRDefault="00C0731E" w:rsidP="00A73D67">
      <w:pPr>
        <w:ind w:left="360"/>
        <w:jc w:val="both"/>
        <w:rPr>
          <w:lang w:val="en-GB"/>
        </w:rPr>
      </w:pPr>
    </w:p>
    <w:p w:rsidR="00A73D67" w:rsidRPr="001C21DC" w:rsidRDefault="00A73D67" w:rsidP="003F48D3">
      <w:pPr>
        <w:pStyle w:val="ListParagraph"/>
        <w:numPr>
          <w:ilvl w:val="0"/>
          <w:numId w:val="3"/>
        </w:numPr>
        <w:autoSpaceDE w:val="0"/>
        <w:jc w:val="both"/>
        <w:rPr>
          <w:lang w:val="en-GB"/>
        </w:rPr>
      </w:pPr>
      <w:r w:rsidRPr="001C21DC">
        <w:rPr>
          <w:b/>
          <w:bCs/>
          <w:lang w:val="en-GB"/>
        </w:rPr>
        <w:t xml:space="preserve">Circumstances surrounding the </w:t>
      </w:r>
      <w:r w:rsidR="0019795E" w:rsidRPr="001C21DC">
        <w:rPr>
          <w:b/>
          <w:bCs/>
          <w:lang w:val="en-GB"/>
        </w:rPr>
        <w:t>abduction</w:t>
      </w:r>
      <w:r w:rsidR="00315125" w:rsidRPr="001C21DC">
        <w:rPr>
          <w:b/>
          <w:bCs/>
          <w:lang w:val="en-GB"/>
        </w:rPr>
        <w:t xml:space="preserve"> and probable</w:t>
      </w:r>
      <w:r w:rsidR="001521F4" w:rsidRPr="001C21DC">
        <w:rPr>
          <w:b/>
          <w:bCs/>
          <w:lang w:val="en-GB"/>
        </w:rPr>
        <w:t xml:space="preserve"> killing of </w:t>
      </w:r>
      <w:r w:rsidR="004B52A2" w:rsidRPr="001C21DC">
        <w:rPr>
          <w:b/>
          <w:bCs/>
          <w:lang w:val="en-GB"/>
        </w:rPr>
        <w:t>M.V.</w:t>
      </w:r>
      <w:r w:rsidR="007815A6" w:rsidRPr="001C21DC">
        <w:rPr>
          <w:b/>
          <w:bCs/>
          <w:lang w:val="en-GB"/>
        </w:rPr>
        <w:t xml:space="preserve"> and the </w:t>
      </w:r>
      <w:r w:rsidR="0019795E" w:rsidRPr="001C21DC">
        <w:rPr>
          <w:b/>
          <w:bCs/>
          <w:lang w:val="en-GB"/>
        </w:rPr>
        <w:t xml:space="preserve">abduction </w:t>
      </w:r>
      <w:r w:rsidR="007815A6" w:rsidRPr="001C21DC">
        <w:rPr>
          <w:b/>
          <w:bCs/>
          <w:lang w:val="en-GB"/>
        </w:rPr>
        <w:t xml:space="preserve">and killing of </w:t>
      </w:r>
      <w:r w:rsidR="004B52A2" w:rsidRPr="001C21DC">
        <w:rPr>
          <w:b/>
          <w:lang w:val="en-GB"/>
        </w:rPr>
        <w:t>M.Đ.</w:t>
      </w:r>
      <w:r w:rsidR="001521F4" w:rsidRPr="001C21DC">
        <w:rPr>
          <w:b/>
          <w:lang w:val="en-GB"/>
        </w:rPr>
        <w:t xml:space="preserve"> and </w:t>
      </w:r>
      <w:r w:rsidR="00CE2844" w:rsidRPr="001C21DC">
        <w:rPr>
          <w:b/>
          <w:lang w:val="en-GB"/>
        </w:rPr>
        <w:t>D</w:t>
      </w:r>
      <w:r w:rsidR="007815A6" w:rsidRPr="001C21DC">
        <w:rPr>
          <w:b/>
          <w:lang w:val="en-GB"/>
        </w:rPr>
        <w:t>.S.</w:t>
      </w:r>
    </w:p>
    <w:p w:rsidR="000F6E16" w:rsidRPr="001C21DC" w:rsidRDefault="000F6E16" w:rsidP="000F6E16">
      <w:pPr>
        <w:ind w:left="360"/>
        <w:jc w:val="both"/>
        <w:rPr>
          <w:lang w:val="en-GB"/>
        </w:rPr>
      </w:pPr>
    </w:p>
    <w:p w:rsidR="00351024" w:rsidRPr="001C21DC" w:rsidRDefault="008526F1" w:rsidP="003F48D3">
      <w:pPr>
        <w:numPr>
          <w:ilvl w:val="0"/>
          <w:numId w:val="2"/>
        </w:numPr>
        <w:jc w:val="both"/>
        <w:rPr>
          <w:lang w:val="en-GB"/>
        </w:rPr>
      </w:pPr>
      <w:r w:rsidRPr="001C21DC">
        <w:rPr>
          <w:lang w:val="en-GB"/>
        </w:rPr>
        <w:t xml:space="preserve">The first complainant </w:t>
      </w:r>
      <w:r w:rsidR="00FD65F9" w:rsidRPr="001C21DC">
        <w:rPr>
          <w:lang w:val="en-GB"/>
        </w:rPr>
        <w:t>(case no. 29</w:t>
      </w:r>
      <w:r w:rsidR="001521F4" w:rsidRPr="001C21DC">
        <w:rPr>
          <w:lang w:val="en-GB"/>
        </w:rPr>
        <w:t xml:space="preserve">1/09) is the father of </w:t>
      </w:r>
      <w:r w:rsidR="004B52A2" w:rsidRPr="001C21DC">
        <w:rPr>
          <w:lang w:val="en-GB"/>
        </w:rPr>
        <w:t>M.V</w:t>
      </w:r>
      <w:r w:rsidRPr="001C21DC">
        <w:rPr>
          <w:lang w:val="en-GB"/>
        </w:rPr>
        <w:t>. The second complainant</w:t>
      </w:r>
      <w:r w:rsidR="00FD65F9" w:rsidRPr="001C21DC">
        <w:rPr>
          <w:lang w:val="en-GB"/>
        </w:rPr>
        <w:t xml:space="preserve"> (case no. 2</w:t>
      </w:r>
      <w:r w:rsidR="004B52A2" w:rsidRPr="001C21DC">
        <w:rPr>
          <w:lang w:val="en-GB"/>
        </w:rPr>
        <w:t xml:space="preserve">92/09) is the </w:t>
      </w:r>
      <w:r w:rsidR="001521F4" w:rsidRPr="001C21DC">
        <w:rPr>
          <w:lang w:val="en-GB"/>
        </w:rPr>
        <w:t xml:space="preserve">wife of </w:t>
      </w:r>
      <w:r w:rsidR="004B52A2" w:rsidRPr="001C21DC">
        <w:rPr>
          <w:lang w:val="en-GB"/>
        </w:rPr>
        <w:t>M.</w:t>
      </w:r>
      <w:r w:rsidR="00FD65F9" w:rsidRPr="001C21DC">
        <w:rPr>
          <w:lang w:val="en-GB"/>
        </w:rPr>
        <w:t>Đ</w:t>
      </w:r>
      <w:r w:rsidRPr="001C21DC">
        <w:rPr>
          <w:lang w:val="en-GB"/>
        </w:rPr>
        <w:t>. The third complainant</w:t>
      </w:r>
      <w:r w:rsidR="00FD65F9" w:rsidRPr="001C21DC">
        <w:rPr>
          <w:lang w:val="en-GB"/>
        </w:rPr>
        <w:t xml:space="preserve"> (case no. 296/09), is the </w:t>
      </w:r>
      <w:r w:rsidR="00585F76" w:rsidRPr="001C21DC">
        <w:rPr>
          <w:lang w:val="en-GB"/>
        </w:rPr>
        <w:t>wif</w:t>
      </w:r>
      <w:r w:rsidR="00FD65F9" w:rsidRPr="001C21DC">
        <w:rPr>
          <w:lang w:val="en-GB"/>
        </w:rPr>
        <w:t>e</w:t>
      </w:r>
      <w:r w:rsidR="001521F4" w:rsidRPr="001C21DC">
        <w:rPr>
          <w:lang w:val="en-GB"/>
        </w:rPr>
        <w:t xml:space="preserve"> of D.</w:t>
      </w:r>
      <w:r w:rsidR="00FD65F9" w:rsidRPr="001C21DC">
        <w:rPr>
          <w:lang w:val="en-GB"/>
        </w:rPr>
        <w:t>S</w:t>
      </w:r>
      <w:r w:rsidR="00351024" w:rsidRPr="001C21DC">
        <w:rPr>
          <w:lang w:val="en-GB"/>
        </w:rPr>
        <w:t>.</w:t>
      </w:r>
    </w:p>
    <w:p w:rsidR="00351024" w:rsidRPr="001C21DC" w:rsidRDefault="00351024" w:rsidP="00FD65F9">
      <w:pPr>
        <w:jc w:val="both"/>
        <w:rPr>
          <w:lang w:val="en-GB"/>
        </w:rPr>
      </w:pPr>
    </w:p>
    <w:p w:rsidR="008526F1" w:rsidRPr="001C21DC" w:rsidRDefault="001521F4" w:rsidP="004B52A2">
      <w:pPr>
        <w:numPr>
          <w:ilvl w:val="0"/>
          <w:numId w:val="2"/>
        </w:numPr>
        <w:jc w:val="both"/>
        <w:rPr>
          <w:lang w:val="en-GB"/>
        </w:rPr>
      </w:pPr>
      <w:r w:rsidRPr="001C21DC">
        <w:rPr>
          <w:lang w:val="en-GB"/>
        </w:rPr>
        <w:t xml:space="preserve">The complainants state that </w:t>
      </w:r>
      <w:r w:rsidR="004B52A2" w:rsidRPr="001C21DC">
        <w:rPr>
          <w:lang w:val="en-GB"/>
        </w:rPr>
        <w:t>M.V.</w:t>
      </w:r>
      <w:r w:rsidRPr="001C21DC">
        <w:rPr>
          <w:lang w:val="en-GB"/>
        </w:rPr>
        <w:t xml:space="preserve">, </w:t>
      </w:r>
      <w:r w:rsidR="004B52A2" w:rsidRPr="001C21DC">
        <w:rPr>
          <w:lang w:val="en-GB"/>
        </w:rPr>
        <w:t xml:space="preserve">M.Đ. </w:t>
      </w:r>
      <w:r w:rsidRPr="001C21DC">
        <w:rPr>
          <w:bCs/>
          <w:iCs/>
          <w:lang w:val="en-GB"/>
        </w:rPr>
        <w:t xml:space="preserve">and </w:t>
      </w:r>
      <w:r w:rsidR="00FD65F9" w:rsidRPr="001C21DC">
        <w:rPr>
          <w:bCs/>
          <w:iCs/>
          <w:lang w:val="en-GB"/>
        </w:rPr>
        <w:t>D.S.,</w:t>
      </w:r>
      <w:r w:rsidR="00585F76" w:rsidRPr="001C21DC">
        <w:rPr>
          <w:bCs/>
          <w:iCs/>
          <w:lang w:val="en-GB"/>
        </w:rPr>
        <w:t xml:space="preserve"> disappeared</w:t>
      </w:r>
      <w:r w:rsidR="00FD65F9" w:rsidRPr="001C21DC">
        <w:rPr>
          <w:bCs/>
          <w:iCs/>
          <w:lang w:val="en-GB"/>
        </w:rPr>
        <w:t xml:space="preserve"> </w:t>
      </w:r>
      <w:r w:rsidR="00FD65F9" w:rsidRPr="001C21DC">
        <w:rPr>
          <w:lang w:val="en-GB"/>
        </w:rPr>
        <w:t>on 22 June 1999 in the area of Lipjan/Liplja</w:t>
      </w:r>
      <w:r w:rsidR="008E7019" w:rsidRPr="001C21DC">
        <w:rPr>
          <w:lang w:val="en-GB"/>
        </w:rPr>
        <w:t>n. The complainants in cases nos</w:t>
      </w:r>
      <w:r w:rsidR="00FD65F9" w:rsidRPr="001C21DC">
        <w:rPr>
          <w:lang w:val="en-GB"/>
        </w:rPr>
        <w:t xml:space="preserve"> </w:t>
      </w:r>
      <w:r w:rsidRPr="001C21DC">
        <w:rPr>
          <w:lang w:val="en-GB"/>
        </w:rPr>
        <w:t>291/09 and 292/09</w:t>
      </w:r>
      <w:r w:rsidR="004B52A2" w:rsidRPr="001C21DC">
        <w:rPr>
          <w:lang w:val="en-GB"/>
        </w:rPr>
        <w:t xml:space="preserve"> </w:t>
      </w:r>
      <w:r w:rsidRPr="001C21DC">
        <w:rPr>
          <w:lang w:val="en-GB"/>
        </w:rPr>
        <w:t xml:space="preserve">each </w:t>
      </w:r>
      <w:r w:rsidR="004B52A2" w:rsidRPr="001C21DC">
        <w:rPr>
          <w:lang w:val="en-GB"/>
        </w:rPr>
        <w:t>state that</w:t>
      </w:r>
      <w:r w:rsidR="00FD65F9" w:rsidRPr="001C21DC">
        <w:rPr>
          <w:lang w:val="en-GB"/>
        </w:rPr>
        <w:t xml:space="preserve"> </w:t>
      </w:r>
      <w:r w:rsidR="004B52A2" w:rsidRPr="001C21DC">
        <w:rPr>
          <w:lang w:val="en-GB"/>
        </w:rPr>
        <w:t>M.V.</w:t>
      </w:r>
      <w:r w:rsidRPr="001C21DC">
        <w:rPr>
          <w:lang w:val="en-GB"/>
        </w:rPr>
        <w:t xml:space="preserve"> and</w:t>
      </w:r>
      <w:r w:rsidR="004B52A2" w:rsidRPr="001C21DC">
        <w:rPr>
          <w:lang w:val="en-GB"/>
        </w:rPr>
        <w:t xml:space="preserve"> M.Đ. </w:t>
      </w:r>
      <w:r w:rsidR="00AF7616" w:rsidRPr="001C21DC">
        <w:rPr>
          <w:lang w:val="en-GB"/>
        </w:rPr>
        <w:t>“were taken away” by unknown persons</w:t>
      </w:r>
      <w:r w:rsidR="00BD0EF3" w:rsidRPr="001C21DC">
        <w:rPr>
          <w:lang w:val="en-GB"/>
        </w:rPr>
        <w:t>”</w:t>
      </w:r>
      <w:r w:rsidR="00AF7616" w:rsidRPr="001C21DC">
        <w:rPr>
          <w:lang w:val="en-GB"/>
        </w:rPr>
        <w:t xml:space="preserve"> on </w:t>
      </w:r>
      <w:r w:rsidR="003A6A4D" w:rsidRPr="001C21DC">
        <w:rPr>
          <w:lang w:val="en-GB"/>
        </w:rPr>
        <w:t xml:space="preserve">the road between </w:t>
      </w:r>
      <w:r w:rsidR="00AF7616" w:rsidRPr="001C21DC">
        <w:rPr>
          <w:lang w:val="en-GB"/>
        </w:rPr>
        <w:t xml:space="preserve">Rubovc/Rabovce and Lipjan/Lipljan and that they “have not heard” from them ever since. </w:t>
      </w:r>
      <w:r w:rsidR="008526F1" w:rsidRPr="001C21DC">
        <w:rPr>
          <w:lang w:val="en-GB"/>
        </w:rPr>
        <w:t xml:space="preserve">They reported the </w:t>
      </w:r>
      <w:r w:rsidR="0019795E" w:rsidRPr="001C21DC">
        <w:rPr>
          <w:lang w:val="en-GB"/>
        </w:rPr>
        <w:t>abduction</w:t>
      </w:r>
      <w:r w:rsidR="008526F1" w:rsidRPr="001C21DC">
        <w:rPr>
          <w:lang w:val="en-GB"/>
        </w:rPr>
        <w:t xml:space="preserve"> to KFOR and </w:t>
      </w:r>
      <w:r w:rsidR="00056AA9" w:rsidRPr="001C21DC">
        <w:rPr>
          <w:lang w:val="en-GB"/>
        </w:rPr>
        <w:t>UNMIK;</w:t>
      </w:r>
      <w:r w:rsidR="008526F1" w:rsidRPr="001C21DC">
        <w:rPr>
          <w:lang w:val="en-GB"/>
        </w:rPr>
        <w:t xml:space="preserve"> however they received “no response”. </w:t>
      </w:r>
    </w:p>
    <w:p w:rsidR="008526F1" w:rsidRPr="001C21DC" w:rsidRDefault="008526F1" w:rsidP="008526F1">
      <w:pPr>
        <w:pStyle w:val="ListParagraph"/>
        <w:rPr>
          <w:lang w:val="en-GB"/>
        </w:rPr>
      </w:pPr>
    </w:p>
    <w:p w:rsidR="00FD65F9" w:rsidRPr="001C21DC" w:rsidRDefault="00AF7616" w:rsidP="00FD65F9">
      <w:pPr>
        <w:numPr>
          <w:ilvl w:val="0"/>
          <w:numId w:val="2"/>
        </w:numPr>
        <w:jc w:val="both"/>
        <w:rPr>
          <w:lang w:val="en-GB"/>
        </w:rPr>
      </w:pPr>
      <w:bookmarkStart w:id="7" w:name="_Ref391030110"/>
      <w:r w:rsidRPr="001C21DC">
        <w:rPr>
          <w:lang w:val="en-GB"/>
        </w:rPr>
        <w:t xml:space="preserve">The complainant </w:t>
      </w:r>
      <w:r w:rsidR="00585F76" w:rsidRPr="001C21DC">
        <w:rPr>
          <w:lang w:val="en-GB"/>
        </w:rPr>
        <w:t>in case no. 296/09</w:t>
      </w:r>
      <w:r w:rsidRPr="001C21DC">
        <w:rPr>
          <w:lang w:val="en-GB"/>
        </w:rPr>
        <w:t xml:space="preserve"> sta</w:t>
      </w:r>
      <w:r w:rsidR="00FF1F95" w:rsidRPr="001C21DC">
        <w:rPr>
          <w:lang w:val="en-GB"/>
        </w:rPr>
        <w:t>tes that, on 22 June 1999, D</w:t>
      </w:r>
      <w:r w:rsidRPr="001C21DC">
        <w:rPr>
          <w:lang w:val="en-GB"/>
        </w:rPr>
        <w:t>.S.</w:t>
      </w:r>
      <w:r w:rsidR="00585F76" w:rsidRPr="001C21DC">
        <w:rPr>
          <w:lang w:val="en-GB"/>
        </w:rPr>
        <w:t>, left work and</w:t>
      </w:r>
      <w:r w:rsidR="001521F4" w:rsidRPr="001C21DC">
        <w:rPr>
          <w:lang w:val="en-GB"/>
        </w:rPr>
        <w:t xml:space="preserve"> at 15:00</w:t>
      </w:r>
      <w:r w:rsidR="008526F1" w:rsidRPr="001C21DC">
        <w:rPr>
          <w:lang w:val="en-GB"/>
        </w:rPr>
        <w:t xml:space="preserve"> he</w:t>
      </w:r>
      <w:r w:rsidR="00585F76" w:rsidRPr="001C21DC">
        <w:rPr>
          <w:lang w:val="en-GB"/>
        </w:rPr>
        <w:t xml:space="preserve"> went to Lipjan/Lipljan to pick up his vehicle from his sister’</w:t>
      </w:r>
      <w:r w:rsidR="001521F4" w:rsidRPr="001C21DC">
        <w:rPr>
          <w:lang w:val="en-GB"/>
        </w:rPr>
        <w:t>s house. He left from</w:t>
      </w:r>
      <w:r w:rsidR="00200DCA" w:rsidRPr="001C21DC">
        <w:rPr>
          <w:lang w:val="en-GB"/>
        </w:rPr>
        <w:t xml:space="preserve"> his sister’s house</w:t>
      </w:r>
      <w:r w:rsidR="008526F1" w:rsidRPr="001C21DC">
        <w:rPr>
          <w:lang w:val="en-GB"/>
        </w:rPr>
        <w:t xml:space="preserve"> two hours later and </w:t>
      </w:r>
      <w:r w:rsidR="001521F4" w:rsidRPr="001C21DC">
        <w:rPr>
          <w:lang w:val="en-GB"/>
        </w:rPr>
        <w:t xml:space="preserve">he has not been seen alive </w:t>
      </w:r>
      <w:r w:rsidR="008526F1" w:rsidRPr="001C21DC">
        <w:rPr>
          <w:lang w:val="en-GB"/>
        </w:rPr>
        <w:t xml:space="preserve">since. The complainant reported the </w:t>
      </w:r>
      <w:r w:rsidR="0019795E" w:rsidRPr="001C21DC">
        <w:rPr>
          <w:lang w:val="en-GB"/>
        </w:rPr>
        <w:t>abduction</w:t>
      </w:r>
      <w:r w:rsidR="008526F1" w:rsidRPr="001C21DC">
        <w:rPr>
          <w:lang w:val="en-GB"/>
        </w:rPr>
        <w:t xml:space="preserve"> to KFOR, UNMIK, the “Police” and “all other organisations”. She states that the family knows “the murderers who had committed a crime”.</w:t>
      </w:r>
      <w:bookmarkEnd w:id="7"/>
      <w:r w:rsidR="008526F1" w:rsidRPr="001C21DC">
        <w:rPr>
          <w:lang w:val="en-GB"/>
        </w:rPr>
        <w:t xml:space="preserve"> </w:t>
      </w:r>
    </w:p>
    <w:p w:rsidR="008526F1" w:rsidRPr="001C21DC" w:rsidRDefault="008526F1" w:rsidP="008526F1">
      <w:pPr>
        <w:pStyle w:val="ListParagraph"/>
        <w:rPr>
          <w:lang w:val="en-GB"/>
        </w:rPr>
      </w:pPr>
    </w:p>
    <w:p w:rsidR="008E61A6" w:rsidRPr="001C21DC" w:rsidRDefault="008526F1" w:rsidP="004B52A2">
      <w:pPr>
        <w:numPr>
          <w:ilvl w:val="0"/>
          <w:numId w:val="2"/>
        </w:numPr>
        <w:jc w:val="both"/>
        <w:rPr>
          <w:lang w:val="en-GB"/>
        </w:rPr>
      </w:pPr>
      <w:r w:rsidRPr="001C21DC">
        <w:rPr>
          <w:lang w:val="en-GB"/>
        </w:rPr>
        <w:t xml:space="preserve">The names of </w:t>
      </w:r>
      <w:r w:rsidR="00AD007D" w:rsidRPr="001C21DC">
        <w:rPr>
          <w:lang w:val="en-GB"/>
        </w:rPr>
        <w:t xml:space="preserve">M.V., M.Đ. and </w:t>
      </w:r>
      <w:r w:rsidR="004B52A2" w:rsidRPr="001C21DC">
        <w:rPr>
          <w:lang w:val="en-GB"/>
        </w:rPr>
        <w:t xml:space="preserve">D.S., </w:t>
      </w:r>
      <w:r w:rsidR="00056AA9" w:rsidRPr="001C21DC">
        <w:rPr>
          <w:bCs/>
          <w:iCs/>
          <w:lang w:val="en-GB"/>
        </w:rPr>
        <w:t>appear in the database compiled by the OMPF</w:t>
      </w:r>
      <w:r w:rsidR="00DD4104" w:rsidRPr="001C21DC">
        <w:rPr>
          <w:rStyle w:val="FootnoteReference"/>
          <w:bCs/>
          <w:iCs/>
          <w:lang w:val="en-GB"/>
        </w:rPr>
        <w:footnoteReference w:id="3"/>
      </w:r>
      <w:r w:rsidR="00056AA9" w:rsidRPr="001C21DC">
        <w:rPr>
          <w:bCs/>
          <w:iCs/>
          <w:lang w:val="en-GB"/>
        </w:rPr>
        <w:t xml:space="preserve"> and in the online database maintained by the ICMP. </w:t>
      </w:r>
      <w:r w:rsidR="00DD4104" w:rsidRPr="001C21DC">
        <w:rPr>
          <w:bCs/>
          <w:iCs/>
          <w:lang w:val="en-GB"/>
        </w:rPr>
        <w:t xml:space="preserve">The entry in the ICPM database on </w:t>
      </w:r>
      <w:r w:rsidR="004B52A2" w:rsidRPr="001C21DC">
        <w:rPr>
          <w:lang w:val="en-GB"/>
        </w:rPr>
        <w:t>M.V.</w:t>
      </w:r>
      <w:r w:rsidR="00DD4104" w:rsidRPr="001C21DC">
        <w:rPr>
          <w:bCs/>
          <w:iCs/>
          <w:lang w:val="en-GB"/>
        </w:rPr>
        <w:t xml:space="preserve"> reads, in the relevant fields, “</w:t>
      </w:r>
      <w:r w:rsidR="00DD4104" w:rsidRPr="001C21DC">
        <w:rPr>
          <w:lang w:val="en-GB"/>
        </w:rPr>
        <w:t xml:space="preserve">Sufficient Reference Samples Collected” and “EULEX has provided information on this missing person on 10-26-2010 to authorized institution. To obtain additional information, contact EULEX Kosovo Headquarters”. </w:t>
      </w:r>
      <w:r w:rsidR="00056AA9" w:rsidRPr="001C21DC">
        <w:rPr>
          <w:bCs/>
          <w:iCs/>
          <w:lang w:val="en-GB"/>
        </w:rPr>
        <w:t xml:space="preserve">The entries in the ICPM database on </w:t>
      </w:r>
      <w:r w:rsidR="004B52A2" w:rsidRPr="001C21DC">
        <w:rPr>
          <w:lang w:val="en-GB"/>
        </w:rPr>
        <w:t>M.Đ.</w:t>
      </w:r>
      <w:r w:rsidR="00AD007D" w:rsidRPr="001C21DC">
        <w:rPr>
          <w:bCs/>
          <w:iCs/>
          <w:lang w:val="en-GB"/>
        </w:rPr>
        <w:t xml:space="preserve"> and </w:t>
      </w:r>
      <w:r w:rsidR="00DD4104" w:rsidRPr="001C21DC">
        <w:rPr>
          <w:bCs/>
          <w:iCs/>
          <w:lang w:val="en-GB"/>
        </w:rPr>
        <w:t>D.S. read</w:t>
      </w:r>
      <w:r w:rsidR="00056AA9" w:rsidRPr="001C21DC">
        <w:rPr>
          <w:bCs/>
          <w:iCs/>
          <w:lang w:val="en-GB"/>
        </w:rPr>
        <w:t>, in the relevant fields, “</w:t>
      </w:r>
      <w:r w:rsidR="00056AA9" w:rsidRPr="001C21DC">
        <w:rPr>
          <w:lang w:val="en-GB"/>
        </w:rPr>
        <w:t xml:space="preserve">Sufficient Reference Samples Collected” and “EULEX has provided information on this missing person </w:t>
      </w:r>
      <w:r w:rsidR="00DD4104" w:rsidRPr="001C21DC">
        <w:rPr>
          <w:lang w:val="en-GB"/>
        </w:rPr>
        <w:t>on 9</w:t>
      </w:r>
      <w:r w:rsidR="00056AA9" w:rsidRPr="001C21DC">
        <w:rPr>
          <w:lang w:val="en-GB"/>
        </w:rPr>
        <w:t>-28-2010 to authorized institution. To obtain additional information, contact EULEX Kosovo Headquarters”</w:t>
      </w:r>
      <w:r w:rsidR="00E14B3D" w:rsidRPr="001C21DC">
        <w:rPr>
          <w:rStyle w:val="FootnoteReference"/>
          <w:lang w:val="en-GB"/>
        </w:rPr>
        <w:footnoteReference w:id="4"/>
      </w:r>
      <w:r w:rsidR="00056AA9" w:rsidRPr="001C21DC">
        <w:rPr>
          <w:lang w:val="en-GB"/>
        </w:rPr>
        <w:t xml:space="preserve">. </w:t>
      </w:r>
    </w:p>
    <w:p w:rsidR="00B429C5" w:rsidRPr="001C21DC" w:rsidRDefault="00B429C5" w:rsidP="00BD0EF3">
      <w:pPr>
        <w:jc w:val="both"/>
        <w:rPr>
          <w:lang w:val="en-GB"/>
        </w:rPr>
      </w:pPr>
    </w:p>
    <w:p w:rsidR="00C0731E" w:rsidRPr="001C21DC" w:rsidRDefault="00C0731E" w:rsidP="00F12F42">
      <w:pPr>
        <w:jc w:val="both"/>
        <w:rPr>
          <w:lang w:val="en-GB"/>
        </w:rPr>
      </w:pPr>
      <w:r w:rsidRPr="001C21DC">
        <w:rPr>
          <w:b/>
          <w:lang w:val="en-GB"/>
        </w:rPr>
        <w:t xml:space="preserve">C. The investigation </w:t>
      </w:r>
    </w:p>
    <w:p w:rsidR="00C0731E" w:rsidRPr="001C21DC" w:rsidRDefault="00C0731E" w:rsidP="00C0731E">
      <w:pPr>
        <w:pStyle w:val="ListParagraph"/>
        <w:jc w:val="both"/>
        <w:rPr>
          <w:i/>
          <w:lang w:val="en-GB"/>
        </w:rPr>
      </w:pPr>
    </w:p>
    <w:p w:rsidR="00C0731E" w:rsidRPr="001C21DC" w:rsidRDefault="00D303D3" w:rsidP="003F48D3">
      <w:pPr>
        <w:pStyle w:val="ListParagraph"/>
        <w:numPr>
          <w:ilvl w:val="0"/>
          <w:numId w:val="2"/>
        </w:numPr>
        <w:suppressAutoHyphens w:val="0"/>
        <w:contextualSpacing/>
        <w:jc w:val="both"/>
        <w:rPr>
          <w:lang w:val="en-GB"/>
        </w:rPr>
      </w:pPr>
      <w:r w:rsidRPr="001C21DC">
        <w:rPr>
          <w:lang w:val="en-GB"/>
        </w:rPr>
        <w:t>In the present case, the Panel received from UNMIK investigati</w:t>
      </w:r>
      <w:r w:rsidR="004D1952" w:rsidRPr="001C21DC">
        <w:rPr>
          <w:lang w:val="en-GB"/>
        </w:rPr>
        <w:t>ve</w:t>
      </w:r>
      <w:r w:rsidRPr="001C21DC">
        <w:rPr>
          <w:lang w:val="en-GB"/>
        </w:rPr>
        <w:t xml:space="preserve"> documents previously he</w:t>
      </w:r>
      <w:r w:rsidR="00C127DC" w:rsidRPr="001C21DC">
        <w:rPr>
          <w:lang w:val="en-GB"/>
        </w:rPr>
        <w:t xml:space="preserve">ld by the UNMIK OMPF, </w:t>
      </w:r>
      <w:r w:rsidR="001D4A00" w:rsidRPr="001C21DC">
        <w:rPr>
          <w:lang w:val="en-GB"/>
        </w:rPr>
        <w:t>UNMIK Police (MPU and WCIU)</w:t>
      </w:r>
      <w:r w:rsidR="00C127DC" w:rsidRPr="001C21DC">
        <w:rPr>
          <w:lang w:val="en-GB"/>
        </w:rPr>
        <w:t>,</w:t>
      </w:r>
      <w:r w:rsidR="00BD0EF3" w:rsidRPr="001C21DC">
        <w:rPr>
          <w:lang w:val="en-GB"/>
        </w:rPr>
        <w:t xml:space="preserve"> and EULEX WCIU</w:t>
      </w:r>
      <w:r w:rsidR="00C127DC" w:rsidRPr="001C21DC">
        <w:rPr>
          <w:lang w:val="en-GB"/>
        </w:rPr>
        <w:t>.</w:t>
      </w:r>
    </w:p>
    <w:p w:rsidR="00FA6A25" w:rsidRPr="001C21DC" w:rsidRDefault="00FA6A25" w:rsidP="00C0731E">
      <w:pPr>
        <w:ind w:left="720"/>
        <w:jc w:val="both"/>
        <w:rPr>
          <w:lang w:val="en-GB"/>
        </w:rPr>
      </w:pPr>
    </w:p>
    <w:p w:rsidR="00E81C89" w:rsidRPr="001C21DC" w:rsidRDefault="00E81C89" w:rsidP="003F48D3">
      <w:pPr>
        <w:pStyle w:val="ListParagraph"/>
        <w:numPr>
          <w:ilvl w:val="0"/>
          <w:numId w:val="2"/>
        </w:numPr>
        <w:suppressAutoHyphens w:val="0"/>
        <w:contextualSpacing/>
        <w:jc w:val="both"/>
        <w:rPr>
          <w:lang w:val="en-GB"/>
        </w:rPr>
      </w:pPr>
      <w:r w:rsidRPr="001C21DC">
        <w:rPr>
          <w:lang w:val="en-GB"/>
        </w:rPr>
        <w:t>Concerning disclosure of information contained in the files, the Panel recalls that investigati</w:t>
      </w:r>
      <w:r w:rsidR="004D1952" w:rsidRPr="001C21DC">
        <w:rPr>
          <w:lang w:val="en-GB"/>
        </w:rPr>
        <w:t>ve</w:t>
      </w:r>
      <w:r w:rsidRPr="001C21DC">
        <w:rPr>
          <w:lang w:val="en-GB"/>
        </w:rPr>
        <w:t xml:space="preserve"> files have been made available for the Panel’s review under a pledge of confidentiality</w:t>
      </w:r>
      <w:r w:rsidR="002132AA" w:rsidRPr="001C21DC">
        <w:rPr>
          <w:lang w:val="en-GB"/>
        </w:rPr>
        <w:t>.</w:t>
      </w:r>
      <w:r w:rsidRPr="001C21DC">
        <w:rPr>
          <w:lang w:val="en-GB"/>
        </w:rPr>
        <w:t xml:space="preserve"> In this regard, the Panel must clarify that although its assessment of the present case stems from a thorough examination of the available documentation, only limited information contained therein is disclosed. Hence a synopsis of relevant investigati</w:t>
      </w:r>
      <w:r w:rsidR="004D1952" w:rsidRPr="001C21DC">
        <w:rPr>
          <w:lang w:val="en-GB"/>
        </w:rPr>
        <w:t>ve</w:t>
      </w:r>
      <w:r w:rsidRPr="001C21DC">
        <w:rPr>
          <w:lang w:val="en-GB"/>
        </w:rPr>
        <w:t xml:space="preserve"> steps taken by investigative authorities is provided in the paragraphs to follow.  </w:t>
      </w:r>
    </w:p>
    <w:p w:rsidR="00842813" w:rsidRPr="001C21DC" w:rsidRDefault="00842813" w:rsidP="00842813">
      <w:pPr>
        <w:pStyle w:val="ListParagraph"/>
        <w:rPr>
          <w:lang w:val="en-GB"/>
        </w:rPr>
      </w:pPr>
    </w:p>
    <w:p w:rsidR="00160353" w:rsidRPr="001C21DC" w:rsidRDefault="00160353" w:rsidP="003F48D3">
      <w:pPr>
        <w:pStyle w:val="ListParagraph"/>
        <w:numPr>
          <w:ilvl w:val="0"/>
          <w:numId w:val="2"/>
        </w:numPr>
        <w:suppressAutoHyphens w:val="0"/>
        <w:contextualSpacing/>
        <w:jc w:val="both"/>
        <w:rPr>
          <w:lang w:val="en-GB"/>
        </w:rPr>
      </w:pPr>
      <w:r w:rsidRPr="001C21DC">
        <w:rPr>
          <w:lang w:val="en-GB"/>
        </w:rPr>
        <w:t xml:space="preserve">The investigative file shows that </w:t>
      </w:r>
      <w:r w:rsidR="000175F5" w:rsidRPr="001C21DC">
        <w:rPr>
          <w:lang w:val="en-GB"/>
        </w:rPr>
        <w:t xml:space="preserve">the </w:t>
      </w:r>
      <w:r w:rsidR="0019795E" w:rsidRPr="001C21DC">
        <w:rPr>
          <w:lang w:val="en-GB"/>
        </w:rPr>
        <w:t>abduction</w:t>
      </w:r>
      <w:r w:rsidR="000175F5" w:rsidRPr="001C21DC">
        <w:rPr>
          <w:lang w:val="en-GB"/>
        </w:rPr>
        <w:t xml:space="preserve"> of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001521F4" w:rsidRPr="001C21DC">
        <w:rPr>
          <w:bCs/>
          <w:iCs/>
          <w:lang w:val="en-GB"/>
        </w:rPr>
        <w:t xml:space="preserve"> and</w:t>
      </w:r>
      <w:r w:rsidRPr="001C21DC">
        <w:rPr>
          <w:bCs/>
          <w:iCs/>
          <w:lang w:val="en-GB"/>
        </w:rPr>
        <w:t xml:space="preserve"> D.S</w:t>
      </w:r>
      <w:r w:rsidR="001521F4" w:rsidRPr="001C21DC">
        <w:rPr>
          <w:bCs/>
          <w:iCs/>
          <w:lang w:val="en-GB"/>
        </w:rPr>
        <w:t>. were</w:t>
      </w:r>
      <w:r w:rsidRPr="001C21DC">
        <w:rPr>
          <w:bCs/>
          <w:iCs/>
          <w:lang w:val="en-GB"/>
        </w:rPr>
        <w:t xml:space="preserve"> </w:t>
      </w:r>
      <w:r w:rsidR="000175F5" w:rsidRPr="001C21DC">
        <w:rPr>
          <w:bCs/>
          <w:iCs/>
          <w:lang w:val="en-GB"/>
        </w:rPr>
        <w:t xml:space="preserve">investigated </w:t>
      </w:r>
      <w:r w:rsidRPr="001C21DC">
        <w:rPr>
          <w:bCs/>
          <w:iCs/>
          <w:lang w:val="en-GB"/>
        </w:rPr>
        <w:t xml:space="preserve">by the </w:t>
      </w:r>
      <w:r w:rsidR="000175F5" w:rsidRPr="001C21DC">
        <w:rPr>
          <w:bCs/>
          <w:iCs/>
          <w:lang w:val="en-GB"/>
        </w:rPr>
        <w:t xml:space="preserve">UNMIK Police under </w:t>
      </w:r>
      <w:r w:rsidRPr="001C21DC">
        <w:rPr>
          <w:bCs/>
          <w:iCs/>
          <w:lang w:val="en-GB"/>
        </w:rPr>
        <w:t>MPU</w:t>
      </w:r>
      <w:r w:rsidR="000175F5" w:rsidRPr="001C21DC">
        <w:rPr>
          <w:bCs/>
          <w:iCs/>
          <w:lang w:val="en-GB"/>
        </w:rPr>
        <w:t xml:space="preserve"> case file no. 1999-00</w:t>
      </w:r>
      <w:r w:rsidR="00835AE5" w:rsidRPr="001C21DC">
        <w:rPr>
          <w:bCs/>
          <w:iCs/>
          <w:lang w:val="en-GB"/>
        </w:rPr>
        <w:t>0107</w:t>
      </w:r>
      <w:r w:rsidR="000833C8" w:rsidRPr="001C21DC">
        <w:rPr>
          <w:bCs/>
          <w:iCs/>
          <w:lang w:val="en-GB"/>
        </w:rPr>
        <w:t xml:space="preserve">, </w:t>
      </w:r>
      <w:r w:rsidR="00835AE5" w:rsidRPr="001C21DC">
        <w:rPr>
          <w:bCs/>
          <w:iCs/>
          <w:lang w:val="en-GB"/>
        </w:rPr>
        <w:t xml:space="preserve">MPU Investigation no. #0348/INV/04, </w:t>
      </w:r>
      <w:r w:rsidR="000833C8" w:rsidRPr="001C21DC">
        <w:rPr>
          <w:bCs/>
          <w:iCs/>
          <w:lang w:val="en-GB"/>
        </w:rPr>
        <w:t>WCIU</w:t>
      </w:r>
      <w:r w:rsidR="00835AE5" w:rsidRPr="001C21DC">
        <w:rPr>
          <w:bCs/>
          <w:iCs/>
          <w:lang w:val="en-GB"/>
        </w:rPr>
        <w:t xml:space="preserve"> cases file no. </w:t>
      </w:r>
      <w:r w:rsidR="000833C8" w:rsidRPr="001C21DC">
        <w:rPr>
          <w:bCs/>
          <w:iCs/>
          <w:lang w:val="en-GB"/>
        </w:rPr>
        <w:t>2000-00123 and WC</w:t>
      </w:r>
      <w:r w:rsidR="00835AE5" w:rsidRPr="001C21DC">
        <w:rPr>
          <w:bCs/>
          <w:iCs/>
          <w:lang w:val="en-GB"/>
        </w:rPr>
        <w:t xml:space="preserve">IU case file no. 2005/00076.  </w:t>
      </w:r>
    </w:p>
    <w:p w:rsidR="000175F5" w:rsidRPr="001C21DC" w:rsidRDefault="000175F5" w:rsidP="000175F5">
      <w:pPr>
        <w:pStyle w:val="ListParagraph"/>
        <w:rPr>
          <w:lang w:val="en-GB"/>
        </w:rPr>
      </w:pPr>
    </w:p>
    <w:p w:rsidR="000175F5" w:rsidRPr="001C21DC" w:rsidRDefault="00DF31F6" w:rsidP="0031462D">
      <w:pPr>
        <w:contextualSpacing/>
        <w:jc w:val="both"/>
        <w:rPr>
          <w:i/>
          <w:lang w:val="en-GB"/>
        </w:rPr>
      </w:pPr>
      <w:r w:rsidRPr="001C21DC">
        <w:rPr>
          <w:i/>
          <w:lang w:val="en-GB"/>
        </w:rPr>
        <w:t xml:space="preserve">Early investigative </w:t>
      </w:r>
      <w:r w:rsidR="00E46224" w:rsidRPr="001C21DC">
        <w:rPr>
          <w:i/>
          <w:lang w:val="en-GB"/>
        </w:rPr>
        <w:t xml:space="preserve">activities </w:t>
      </w:r>
      <w:r w:rsidRPr="001C21DC">
        <w:rPr>
          <w:i/>
          <w:lang w:val="en-GB"/>
        </w:rPr>
        <w:t>(</w:t>
      </w:r>
      <w:r w:rsidR="00E37072" w:rsidRPr="001C21DC">
        <w:rPr>
          <w:i/>
          <w:lang w:val="en-GB"/>
        </w:rPr>
        <w:t>1999</w:t>
      </w:r>
      <w:r w:rsidR="003D37E0" w:rsidRPr="001C21DC">
        <w:rPr>
          <w:i/>
          <w:lang w:val="en-GB"/>
        </w:rPr>
        <w:t>-</w:t>
      </w:r>
      <w:r w:rsidR="00CD2148" w:rsidRPr="001C21DC">
        <w:rPr>
          <w:i/>
          <w:lang w:val="en-GB"/>
        </w:rPr>
        <w:t>2002</w:t>
      </w:r>
      <w:r w:rsidRPr="001C21DC">
        <w:rPr>
          <w:i/>
          <w:lang w:val="en-GB"/>
        </w:rPr>
        <w:t>)</w:t>
      </w:r>
      <w:r w:rsidR="000175F5" w:rsidRPr="001C21DC">
        <w:rPr>
          <w:i/>
          <w:lang w:val="en-GB"/>
        </w:rPr>
        <w:t xml:space="preserve"> </w:t>
      </w:r>
    </w:p>
    <w:p w:rsidR="00160353" w:rsidRPr="001C21DC" w:rsidRDefault="00160353" w:rsidP="00160353">
      <w:pPr>
        <w:pStyle w:val="ListParagraph"/>
        <w:rPr>
          <w:lang w:val="en-GB"/>
        </w:rPr>
      </w:pPr>
    </w:p>
    <w:p w:rsidR="003D37E0" w:rsidRPr="001C21DC" w:rsidRDefault="00CE2844" w:rsidP="004B52A2">
      <w:pPr>
        <w:pStyle w:val="ListParagraph"/>
        <w:numPr>
          <w:ilvl w:val="0"/>
          <w:numId w:val="2"/>
        </w:numPr>
        <w:suppressAutoHyphens w:val="0"/>
        <w:contextualSpacing/>
        <w:jc w:val="both"/>
        <w:rPr>
          <w:lang w:val="en-GB"/>
        </w:rPr>
      </w:pPr>
      <w:r w:rsidRPr="001C21DC">
        <w:rPr>
          <w:lang w:val="en-GB"/>
        </w:rPr>
        <w:t>T</w:t>
      </w:r>
      <w:r w:rsidR="00835AE5" w:rsidRPr="001C21DC">
        <w:rPr>
          <w:lang w:val="en-GB"/>
        </w:rPr>
        <w:t>he investigative file</w:t>
      </w:r>
      <w:r w:rsidRPr="001C21DC">
        <w:rPr>
          <w:lang w:val="en-GB"/>
        </w:rPr>
        <w:t xml:space="preserve"> shows</w:t>
      </w:r>
      <w:r w:rsidR="00835AE5" w:rsidRPr="001C21DC">
        <w:rPr>
          <w:lang w:val="en-GB"/>
        </w:rPr>
        <w:t xml:space="preserve"> that a missing person case on </w:t>
      </w:r>
      <w:r w:rsidR="004B52A2" w:rsidRPr="001C21DC">
        <w:rPr>
          <w:lang w:val="en-GB"/>
        </w:rPr>
        <w:t xml:space="preserve">M.V., M.Đ. and D.S., </w:t>
      </w:r>
      <w:r w:rsidR="00835AE5" w:rsidRPr="001C21DC">
        <w:rPr>
          <w:bCs/>
          <w:iCs/>
          <w:lang w:val="en-GB"/>
        </w:rPr>
        <w:t xml:space="preserve">was opened by the MPU at some time in 1999 under case file no. 1999-000107. </w:t>
      </w:r>
    </w:p>
    <w:p w:rsidR="00E46224" w:rsidRPr="001C21DC" w:rsidRDefault="00E46224" w:rsidP="00E46224">
      <w:pPr>
        <w:pStyle w:val="ListParagraph"/>
        <w:suppressAutoHyphens w:val="0"/>
        <w:ind w:left="360"/>
        <w:contextualSpacing/>
        <w:jc w:val="both"/>
        <w:rPr>
          <w:lang w:val="en-GB"/>
        </w:rPr>
      </w:pPr>
    </w:p>
    <w:p w:rsidR="00792369" w:rsidRPr="001C21DC" w:rsidRDefault="00E46224" w:rsidP="00792369">
      <w:pPr>
        <w:pStyle w:val="ListParagraph"/>
        <w:numPr>
          <w:ilvl w:val="0"/>
          <w:numId w:val="2"/>
        </w:numPr>
        <w:suppressAutoHyphens w:val="0"/>
        <w:contextualSpacing/>
        <w:jc w:val="both"/>
        <w:rPr>
          <w:lang w:val="en-GB"/>
        </w:rPr>
      </w:pPr>
      <w:r w:rsidRPr="001C21DC">
        <w:rPr>
          <w:lang w:val="en-GB"/>
        </w:rPr>
        <w:t>The file includes printouts of Intel Messages gene</w:t>
      </w:r>
      <w:r w:rsidR="00FF1F95" w:rsidRPr="001C21DC">
        <w:rPr>
          <w:lang w:val="en-GB"/>
        </w:rPr>
        <w:t>rated on 28 March 2000</w:t>
      </w:r>
      <w:r w:rsidRPr="001C21DC">
        <w:rPr>
          <w:lang w:val="en-GB"/>
        </w:rPr>
        <w:t xml:space="preserve">, containing information on </w:t>
      </w:r>
      <w:r w:rsidR="004B52A2" w:rsidRPr="001C21DC">
        <w:rPr>
          <w:lang w:val="en-GB"/>
        </w:rPr>
        <w:t>M.V. and</w:t>
      </w:r>
      <w:r w:rsidR="001521F4" w:rsidRPr="001C21DC">
        <w:rPr>
          <w:lang w:val="en-GB"/>
        </w:rPr>
        <w:t xml:space="preserve"> </w:t>
      </w:r>
      <w:r w:rsidR="004B52A2" w:rsidRPr="001C21DC">
        <w:rPr>
          <w:lang w:val="en-GB"/>
        </w:rPr>
        <w:t>M.Đ.</w:t>
      </w:r>
      <w:r w:rsidRPr="001C21DC">
        <w:rPr>
          <w:lang w:val="en-GB"/>
        </w:rPr>
        <w:t>, stating that they were kidnapped on the road from Rubovc/Rabovce and Lipjan/Lipljan on 17 June 1999. T</w:t>
      </w:r>
      <w:r w:rsidR="001521F4" w:rsidRPr="001C21DC">
        <w:rPr>
          <w:lang w:val="en-GB"/>
        </w:rPr>
        <w:t>hey were travelling in</w:t>
      </w:r>
      <w:r w:rsidR="004B52A2" w:rsidRPr="001C21DC">
        <w:rPr>
          <w:lang w:val="en-GB"/>
        </w:rPr>
        <w:t xml:space="preserve"> M.V.</w:t>
      </w:r>
      <w:r w:rsidRPr="001C21DC">
        <w:rPr>
          <w:lang w:val="en-GB"/>
        </w:rPr>
        <w:t xml:space="preserve">’s vehicle, a “Zastava 750, yellow” and the </w:t>
      </w:r>
      <w:r w:rsidR="0019795E" w:rsidRPr="001C21DC">
        <w:rPr>
          <w:lang w:val="en-GB"/>
        </w:rPr>
        <w:t>abduction</w:t>
      </w:r>
      <w:r w:rsidR="001521F4" w:rsidRPr="001C21DC">
        <w:rPr>
          <w:lang w:val="en-GB"/>
        </w:rPr>
        <w:t xml:space="preserve"> was</w:t>
      </w:r>
      <w:r w:rsidRPr="001C21DC">
        <w:rPr>
          <w:lang w:val="en-GB"/>
        </w:rPr>
        <w:t xml:space="preserve"> reported to KFOR. </w:t>
      </w:r>
    </w:p>
    <w:p w:rsidR="00792369" w:rsidRPr="001C21DC" w:rsidRDefault="00792369" w:rsidP="00792369">
      <w:pPr>
        <w:pStyle w:val="ListParagraph"/>
        <w:rPr>
          <w:lang w:val="en-GB"/>
        </w:rPr>
      </w:pPr>
    </w:p>
    <w:p w:rsidR="00E46224" w:rsidRPr="001C21DC" w:rsidRDefault="001521F4" w:rsidP="001521F4">
      <w:pPr>
        <w:pStyle w:val="ListParagraph"/>
        <w:numPr>
          <w:ilvl w:val="0"/>
          <w:numId w:val="2"/>
        </w:numPr>
        <w:suppressAutoHyphens w:val="0"/>
        <w:contextualSpacing/>
        <w:jc w:val="both"/>
        <w:rPr>
          <w:lang w:val="en-GB"/>
        </w:rPr>
      </w:pPr>
      <w:bookmarkStart w:id="8" w:name="_Ref390954179"/>
      <w:r w:rsidRPr="001C21DC">
        <w:rPr>
          <w:lang w:val="en-GB"/>
        </w:rPr>
        <w:t>In</w:t>
      </w:r>
      <w:r w:rsidR="00792369" w:rsidRPr="001C21DC">
        <w:rPr>
          <w:lang w:val="en-GB"/>
        </w:rPr>
        <w:t xml:space="preserve"> a Memorandum dated 18 August 2000, the</w:t>
      </w:r>
      <w:r w:rsidRPr="001C21DC">
        <w:rPr>
          <w:lang w:val="en-GB"/>
        </w:rPr>
        <w:t xml:space="preserve"> UNMIK</w:t>
      </w:r>
      <w:r w:rsidR="00792369" w:rsidRPr="001C21DC">
        <w:rPr>
          <w:lang w:val="en-GB"/>
        </w:rPr>
        <w:t xml:space="preserve"> MPU data manager requested the Police station in Lipjan/Lipljan to provide a copy of the initial report concerning the </w:t>
      </w:r>
      <w:r w:rsidR="0019795E" w:rsidRPr="001C21DC">
        <w:rPr>
          <w:lang w:val="en-GB"/>
        </w:rPr>
        <w:t>abduction</w:t>
      </w:r>
      <w:r w:rsidR="00792369" w:rsidRPr="001C21DC">
        <w:rPr>
          <w:lang w:val="en-GB"/>
        </w:rPr>
        <w:t xml:space="preserve"> of </w:t>
      </w:r>
      <w:r w:rsidR="004B52A2" w:rsidRPr="001C21DC">
        <w:rPr>
          <w:lang w:val="en-GB"/>
        </w:rPr>
        <w:t xml:space="preserve">M.V., M.Đ. </w:t>
      </w:r>
      <w:r w:rsidRPr="001C21DC">
        <w:rPr>
          <w:bCs/>
          <w:iCs/>
          <w:lang w:val="en-GB"/>
        </w:rPr>
        <w:t xml:space="preserve">and </w:t>
      </w:r>
      <w:r w:rsidR="004B52A2" w:rsidRPr="001C21DC">
        <w:rPr>
          <w:bCs/>
          <w:iCs/>
          <w:lang w:val="en-GB"/>
        </w:rPr>
        <w:t>D.S.,</w:t>
      </w:r>
      <w:r w:rsidR="00792369" w:rsidRPr="001C21DC">
        <w:rPr>
          <w:bCs/>
          <w:iCs/>
          <w:lang w:val="en-GB"/>
        </w:rPr>
        <w:t xml:space="preserve"> as well as ante-mortem data on the missing persons and information on the location of their family members in order to collect from them complete ante-mortem information. Entries in an MPU Case Continuation Report</w:t>
      </w:r>
      <w:r w:rsidRPr="001C21DC">
        <w:rPr>
          <w:bCs/>
          <w:iCs/>
          <w:lang w:val="en-GB"/>
        </w:rPr>
        <w:t xml:space="preserve"> specifically concerning </w:t>
      </w:r>
      <w:r w:rsidR="004B52A2" w:rsidRPr="001C21DC">
        <w:rPr>
          <w:lang w:val="en-GB"/>
        </w:rPr>
        <w:t>M.Đ.</w:t>
      </w:r>
      <w:r w:rsidR="00792369" w:rsidRPr="001C21DC">
        <w:rPr>
          <w:bCs/>
          <w:iCs/>
          <w:lang w:val="en-GB"/>
        </w:rPr>
        <w:t xml:space="preserve"> state that additional information, including the missing person’s date of birth and the registration plate of </w:t>
      </w:r>
      <w:r w:rsidRPr="001C21DC">
        <w:rPr>
          <w:bCs/>
          <w:iCs/>
          <w:lang w:val="en-GB"/>
        </w:rPr>
        <w:t>the vehicle he was travelling in</w:t>
      </w:r>
      <w:r w:rsidR="00792369" w:rsidRPr="001C21DC">
        <w:rPr>
          <w:bCs/>
          <w:iCs/>
          <w:lang w:val="en-GB"/>
        </w:rPr>
        <w:t xml:space="preserve"> had been gathered from his daughter on 17 November 2000; that </w:t>
      </w:r>
      <w:r w:rsidR="00F76E0F" w:rsidRPr="001C21DC">
        <w:rPr>
          <w:bCs/>
          <w:iCs/>
          <w:lang w:val="en-GB"/>
        </w:rPr>
        <w:t>a 16-page report (not included in the file</w:t>
      </w:r>
      <w:r w:rsidR="00FF1F95" w:rsidRPr="001C21DC">
        <w:rPr>
          <w:bCs/>
          <w:iCs/>
          <w:lang w:val="en-GB"/>
        </w:rPr>
        <w:t xml:space="preserve"> submitted to the Panel</w:t>
      </w:r>
      <w:r w:rsidR="00F76E0F" w:rsidRPr="001C21DC">
        <w:rPr>
          <w:bCs/>
          <w:iCs/>
          <w:lang w:val="en-GB"/>
        </w:rPr>
        <w:t>) had been transmitted by the OSCE on 15 November 2011; and that ante-mortem info</w:t>
      </w:r>
      <w:r w:rsidRPr="001C21DC">
        <w:rPr>
          <w:bCs/>
          <w:iCs/>
          <w:lang w:val="en-GB"/>
        </w:rPr>
        <w:t xml:space="preserve">rmation on D.S. and </w:t>
      </w:r>
      <w:r w:rsidR="004B52A2" w:rsidRPr="001C21DC">
        <w:rPr>
          <w:bCs/>
          <w:iCs/>
          <w:lang w:val="en-GB"/>
        </w:rPr>
        <w:t>M.V.</w:t>
      </w:r>
      <w:r w:rsidR="00F76E0F" w:rsidRPr="001C21DC">
        <w:rPr>
          <w:bCs/>
          <w:iCs/>
          <w:lang w:val="en-GB"/>
        </w:rPr>
        <w:t xml:space="preserve"> had been received from the ICRC between 4 and 12 April 2002.</w:t>
      </w:r>
      <w:bookmarkEnd w:id="8"/>
      <w:r w:rsidR="00F76E0F" w:rsidRPr="001C21DC">
        <w:rPr>
          <w:bCs/>
          <w:iCs/>
          <w:lang w:val="en-GB"/>
        </w:rPr>
        <w:t xml:space="preserve"> </w:t>
      </w:r>
    </w:p>
    <w:p w:rsidR="00E46224" w:rsidRPr="001C21DC" w:rsidRDefault="00E46224" w:rsidP="003D37E0">
      <w:pPr>
        <w:contextualSpacing/>
        <w:jc w:val="both"/>
        <w:rPr>
          <w:lang w:val="en-GB"/>
        </w:rPr>
      </w:pPr>
    </w:p>
    <w:p w:rsidR="00835AE5" w:rsidRPr="001C21DC" w:rsidRDefault="000833C8" w:rsidP="000833C8">
      <w:pPr>
        <w:pStyle w:val="ListParagraph"/>
        <w:numPr>
          <w:ilvl w:val="0"/>
          <w:numId w:val="2"/>
        </w:numPr>
        <w:suppressAutoHyphens w:val="0"/>
        <w:contextualSpacing/>
        <w:jc w:val="both"/>
        <w:rPr>
          <w:lang w:val="en-GB"/>
        </w:rPr>
      </w:pPr>
      <w:bookmarkStart w:id="9" w:name="_Ref391029855"/>
      <w:r w:rsidRPr="001C21DC">
        <w:rPr>
          <w:lang w:val="en-GB"/>
        </w:rPr>
        <w:t>The file also shows that, following the receipt of a criminal complaint by the District Prosecutor’s Office in Pejë/Peć (copy of the criminal complaint is not included in the file</w:t>
      </w:r>
      <w:r w:rsidR="00FF1F95" w:rsidRPr="001C21DC">
        <w:rPr>
          <w:lang w:val="en-GB"/>
        </w:rPr>
        <w:t xml:space="preserve"> submitted to the Panel</w:t>
      </w:r>
      <w:r w:rsidRPr="001C21DC">
        <w:rPr>
          <w:lang w:val="en-GB"/>
        </w:rPr>
        <w:t>), a criminal investigation was opened by the UNMIK WCIU under case file no. 2000/00123. The file contains</w:t>
      </w:r>
      <w:r w:rsidR="002664D3" w:rsidRPr="001C21DC">
        <w:rPr>
          <w:lang w:val="en-GB"/>
        </w:rPr>
        <w:t xml:space="preserve"> a </w:t>
      </w:r>
      <w:r w:rsidR="00816B3B" w:rsidRPr="001C21DC">
        <w:rPr>
          <w:lang w:val="en-GB"/>
        </w:rPr>
        <w:t>letter from the President of the District Court in Pejë/Peć</w:t>
      </w:r>
      <w:r w:rsidR="00E46224" w:rsidRPr="001C21DC">
        <w:rPr>
          <w:lang w:val="en-GB"/>
        </w:rPr>
        <w:t xml:space="preserve">, dated 21 February 2002, </w:t>
      </w:r>
      <w:r w:rsidR="00816B3B" w:rsidRPr="001C21DC">
        <w:rPr>
          <w:lang w:val="en-GB"/>
        </w:rPr>
        <w:t xml:space="preserve">forwarding to the District Public Prosecutor in Pejë/Peć seven case files, among them the one registered as no. 123/2000, for his </w:t>
      </w:r>
      <w:r w:rsidR="001521F4" w:rsidRPr="001C21DC">
        <w:rPr>
          <w:lang w:val="en-GB"/>
        </w:rPr>
        <w:t>review. However, n</w:t>
      </w:r>
      <w:r w:rsidR="00816B3B" w:rsidRPr="001C21DC">
        <w:rPr>
          <w:lang w:val="en-GB"/>
        </w:rPr>
        <w:t>o document concerni</w:t>
      </w:r>
      <w:r w:rsidR="001521F4" w:rsidRPr="001C21DC">
        <w:rPr>
          <w:lang w:val="en-GB"/>
        </w:rPr>
        <w:t xml:space="preserve">ng this case is included </w:t>
      </w:r>
      <w:r w:rsidR="00816B3B" w:rsidRPr="001C21DC">
        <w:rPr>
          <w:lang w:val="en-GB"/>
        </w:rPr>
        <w:t>in the investigative file.</w:t>
      </w:r>
      <w:bookmarkEnd w:id="9"/>
      <w:r w:rsidR="00816B3B" w:rsidRPr="001C21DC">
        <w:rPr>
          <w:lang w:val="en-GB"/>
        </w:rPr>
        <w:t xml:space="preserve"> </w:t>
      </w:r>
    </w:p>
    <w:p w:rsidR="003D37E0" w:rsidRPr="001C21DC" w:rsidRDefault="003D37E0" w:rsidP="003D37E0">
      <w:pPr>
        <w:pStyle w:val="ListParagraph"/>
        <w:rPr>
          <w:i/>
          <w:lang w:val="en-GB"/>
        </w:rPr>
      </w:pPr>
    </w:p>
    <w:p w:rsidR="003D37E0" w:rsidRPr="001C21DC" w:rsidRDefault="00CD2148" w:rsidP="0031462D">
      <w:pPr>
        <w:contextualSpacing/>
        <w:jc w:val="both"/>
        <w:rPr>
          <w:i/>
          <w:lang w:val="en-GB"/>
        </w:rPr>
      </w:pPr>
      <w:r w:rsidRPr="001C21DC">
        <w:rPr>
          <w:i/>
          <w:lang w:val="en-GB"/>
        </w:rPr>
        <w:t>Reports</w:t>
      </w:r>
      <w:r w:rsidR="003D37E0" w:rsidRPr="001C21DC">
        <w:rPr>
          <w:i/>
          <w:lang w:val="en-GB"/>
        </w:rPr>
        <w:t xml:space="preserve"> </w:t>
      </w:r>
      <w:r w:rsidRPr="001C21DC">
        <w:rPr>
          <w:i/>
          <w:lang w:val="en-GB"/>
        </w:rPr>
        <w:t>on</w:t>
      </w:r>
      <w:r w:rsidR="003D37E0" w:rsidRPr="001C21DC">
        <w:rPr>
          <w:i/>
          <w:lang w:val="en-GB"/>
        </w:rPr>
        <w:t xml:space="preserve"> KLA detention centres </w:t>
      </w:r>
      <w:r w:rsidRPr="001C21DC">
        <w:rPr>
          <w:i/>
          <w:lang w:val="en-GB"/>
        </w:rPr>
        <w:t xml:space="preserve">and organ trafficking </w:t>
      </w:r>
      <w:r w:rsidR="003D37E0" w:rsidRPr="001C21DC">
        <w:rPr>
          <w:i/>
          <w:lang w:val="en-GB"/>
        </w:rPr>
        <w:t>(2000-2003)</w:t>
      </w:r>
    </w:p>
    <w:p w:rsidR="00816B3B" w:rsidRPr="001C21DC" w:rsidRDefault="00816B3B" w:rsidP="00816B3B">
      <w:pPr>
        <w:pStyle w:val="ListParagraph"/>
        <w:suppressAutoHyphens w:val="0"/>
        <w:ind w:left="360"/>
        <w:contextualSpacing/>
        <w:jc w:val="both"/>
        <w:rPr>
          <w:lang w:val="en-GB"/>
        </w:rPr>
      </w:pPr>
    </w:p>
    <w:p w:rsidR="00FF1F95" w:rsidRPr="001C21DC" w:rsidRDefault="00FF1F95" w:rsidP="00CB55CD">
      <w:pPr>
        <w:pStyle w:val="ListParagraph"/>
        <w:numPr>
          <w:ilvl w:val="0"/>
          <w:numId w:val="2"/>
        </w:numPr>
        <w:suppressAutoHyphens w:val="0"/>
        <w:contextualSpacing/>
        <w:jc w:val="both"/>
        <w:rPr>
          <w:lang w:val="en-GB"/>
        </w:rPr>
      </w:pPr>
      <w:r w:rsidRPr="001C21DC">
        <w:rPr>
          <w:lang w:val="en-GB"/>
        </w:rPr>
        <w:t xml:space="preserve">The file contains a document of the “Coordination Centre of Federal Republic of Yugoslavia and Republic of Serbia for Kosovo and Metohia”, bearing no date, listing the names of persons allegedly responsible for organising and committing murders, abductions, destruction of property and other criminal acts against Serbs and other non-Albanian persons in Kosovo. This document states that Mr A.T. from the village of </w:t>
      </w:r>
      <w:r w:rsidR="00CB55CD" w:rsidRPr="001C21DC">
        <w:rPr>
          <w:lang w:val="en-GB"/>
        </w:rPr>
        <w:t>Gadimla e Ultë/Donje Gadimlje</w:t>
      </w:r>
      <w:r w:rsidRPr="001C21DC">
        <w:rPr>
          <w:lang w:val="en-GB"/>
        </w:rPr>
        <w:t xml:space="preserve">, municipality of Lipjan/Lipljan, “took part in the abduction of </w:t>
      </w:r>
      <w:r w:rsidR="001521F4" w:rsidRPr="001C21DC">
        <w:rPr>
          <w:lang w:val="en-GB"/>
        </w:rPr>
        <w:t>[M.V.</w:t>
      </w:r>
      <w:r w:rsidR="001521F4" w:rsidRPr="001C21DC">
        <w:rPr>
          <w:bCs/>
          <w:iCs/>
          <w:lang w:val="en-GB"/>
        </w:rPr>
        <w:t xml:space="preserve"> and</w:t>
      </w:r>
      <w:r w:rsidR="004B52A2" w:rsidRPr="001C21DC">
        <w:rPr>
          <w:lang w:val="en-GB"/>
        </w:rPr>
        <w:t xml:space="preserve"> M.Đ.]</w:t>
      </w:r>
      <w:r w:rsidRPr="001C21DC">
        <w:rPr>
          <w:lang w:val="en-GB"/>
        </w:rPr>
        <w:t xml:space="preserve">”. </w:t>
      </w:r>
    </w:p>
    <w:p w:rsidR="00FF1F95" w:rsidRPr="001C21DC" w:rsidRDefault="00FF1F95" w:rsidP="00FF1F95">
      <w:pPr>
        <w:pStyle w:val="ListParagraph"/>
        <w:ind w:left="360"/>
        <w:contextualSpacing/>
        <w:jc w:val="both"/>
        <w:rPr>
          <w:lang w:val="en-GB"/>
        </w:rPr>
      </w:pPr>
    </w:p>
    <w:p w:rsidR="00D52A33" w:rsidRPr="001C21DC" w:rsidRDefault="00D52A33" w:rsidP="00D52A33">
      <w:pPr>
        <w:pStyle w:val="ListParagraph"/>
        <w:numPr>
          <w:ilvl w:val="0"/>
          <w:numId w:val="2"/>
        </w:numPr>
        <w:contextualSpacing/>
        <w:jc w:val="both"/>
        <w:rPr>
          <w:lang w:val="en-GB"/>
        </w:rPr>
      </w:pPr>
      <w:r w:rsidRPr="001C21DC">
        <w:rPr>
          <w:lang w:val="en-GB"/>
        </w:rPr>
        <w:t>The file</w:t>
      </w:r>
      <w:r w:rsidR="00FF1F95" w:rsidRPr="001C21DC">
        <w:rPr>
          <w:lang w:val="en-GB"/>
        </w:rPr>
        <w:t xml:space="preserve"> also</w:t>
      </w:r>
      <w:r w:rsidRPr="001C21DC">
        <w:rPr>
          <w:lang w:val="en-GB"/>
        </w:rPr>
        <w:t xml:space="preserve"> contains a memorandum, dated 20 April 2000, with a request from the UNMIK Police Chief of Information Centre to the Mitrovicë/Mitrovica UNMIK Police Regional Commander, which in the field “subject” reads “Concentration Camps”. In the memorandum it is requested that the Mitrovicë/Mitrovica UNMIK Police provide follow-up to a “diplomatic request that for the sensitivity of the situation we would appreciate a special treatment from you</w:t>
      </w:r>
      <w:r w:rsidR="00E6570B" w:rsidRPr="001C21DC">
        <w:rPr>
          <w:lang w:val="en-GB"/>
        </w:rPr>
        <w:t>r assigned officers”. A</w:t>
      </w:r>
      <w:r w:rsidRPr="001C21DC">
        <w:rPr>
          <w:lang w:val="en-GB"/>
        </w:rPr>
        <w:t xml:space="preserve"> memorandum</w:t>
      </w:r>
      <w:r w:rsidR="00E6570B" w:rsidRPr="001C21DC">
        <w:rPr>
          <w:lang w:val="en-GB"/>
        </w:rPr>
        <w:t xml:space="preserve"> in response</w:t>
      </w:r>
      <w:r w:rsidRPr="001C21DC">
        <w:rPr>
          <w:lang w:val="en-GB"/>
        </w:rPr>
        <w:t xml:space="preserve"> to the </w:t>
      </w:r>
      <w:r w:rsidR="00E6570B" w:rsidRPr="001C21DC">
        <w:rPr>
          <w:lang w:val="en-GB"/>
        </w:rPr>
        <w:t xml:space="preserve">above request </w:t>
      </w:r>
      <w:r w:rsidRPr="001C21DC">
        <w:rPr>
          <w:lang w:val="en-GB"/>
        </w:rPr>
        <w:t>is also included in the file, dated 27 April 2000, from the UNMIK Police Mitrovicë/Mitrovica Regional HQ Intelligence to the Chief of Information Centre, forwarding a report entitled “KLA Prisons on the Territory of AP KiM and in Republic Alban</w:t>
      </w:r>
      <w:r w:rsidR="008C2986" w:rsidRPr="001C21DC">
        <w:rPr>
          <w:lang w:val="en-GB"/>
        </w:rPr>
        <w:t xml:space="preserve">ia”. The report contains a </w:t>
      </w:r>
      <w:r w:rsidRPr="001C21DC">
        <w:rPr>
          <w:lang w:val="en-GB"/>
        </w:rPr>
        <w:t>list of 111 KLA clandestine detention centres indicating their precise location throughout Kosovo and th</w:t>
      </w:r>
      <w:r w:rsidR="00E6570B" w:rsidRPr="001C21DC">
        <w:rPr>
          <w:lang w:val="en-GB"/>
        </w:rPr>
        <w:t xml:space="preserve">e northern part of Albania. In the case of </w:t>
      </w:r>
      <w:r w:rsidRPr="001C21DC">
        <w:rPr>
          <w:lang w:val="en-GB"/>
        </w:rPr>
        <w:t>some detention centres, the report also indicates the KLA members alle</w:t>
      </w:r>
      <w:r w:rsidR="00E6570B" w:rsidRPr="001C21DC">
        <w:rPr>
          <w:lang w:val="en-GB"/>
        </w:rPr>
        <w:t>gedly in charge of</w:t>
      </w:r>
      <w:r w:rsidR="00FF1F95" w:rsidRPr="001C21DC">
        <w:rPr>
          <w:lang w:val="en-GB"/>
        </w:rPr>
        <w:t xml:space="preserve"> operating </w:t>
      </w:r>
      <w:r w:rsidRPr="001C21DC">
        <w:rPr>
          <w:lang w:val="en-GB"/>
        </w:rPr>
        <w:t>the centres</w:t>
      </w:r>
      <w:r w:rsidR="00E6570B" w:rsidRPr="001C21DC">
        <w:rPr>
          <w:lang w:val="en-GB"/>
        </w:rPr>
        <w:t>,</w:t>
      </w:r>
      <w:r w:rsidRPr="001C21DC">
        <w:rPr>
          <w:lang w:val="en-GB"/>
        </w:rPr>
        <w:t xml:space="preserve"> as well as the names of those detained there. Concerning the case at issue, the report indicates that kidnapped Serbs from Lipjan/Lip</w:t>
      </w:r>
      <w:r w:rsidR="00E6570B" w:rsidRPr="001C21DC">
        <w:rPr>
          <w:lang w:val="en-GB"/>
        </w:rPr>
        <w:t xml:space="preserve">ljan, among them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Pr="001C21DC">
        <w:rPr>
          <w:lang w:val="en-GB"/>
        </w:rPr>
        <w:t xml:space="preserve"> and others, were detained in a prison in “Racak-Stimlje” municipality. The r</w:t>
      </w:r>
      <w:r w:rsidR="00E6570B" w:rsidRPr="001C21DC">
        <w:rPr>
          <w:lang w:val="en-GB"/>
        </w:rPr>
        <w:t xml:space="preserve">eport states that </w:t>
      </w:r>
      <w:r w:rsidR="004B52A2" w:rsidRPr="001C21DC">
        <w:rPr>
          <w:lang w:val="en-GB"/>
        </w:rPr>
        <w:t>M.V.</w:t>
      </w:r>
      <w:r w:rsidRPr="001C21DC">
        <w:rPr>
          <w:bCs/>
          <w:iCs/>
          <w:lang w:val="en-GB"/>
        </w:rPr>
        <w:t xml:space="preserve"> and </w:t>
      </w:r>
      <w:r w:rsidR="004B52A2" w:rsidRPr="001C21DC">
        <w:rPr>
          <w:lang w:val="en-GB"/>
        </w:rPr>
        <w:t>M.Đ.</w:t>
      </w:r>
      <w:r w:rsidRPr="001C21DC">
        <w:rPr>
          <w:lang w:val="en-GB"/>
        </w:rPr>
        <w:t xml:space="preserve"> had been kidnapped by A.T. from </w:t>
      </w:r>
      <w:r w:rsidR="00CB55CD" w:rsidRPr="001C21DC">
        <w:rPr>
          <w:lang w:val="en-GB"/>
        </w:rPr>
        <w:t xml:space="preserve">Gadimla e Ultë/Donje Gadimlje </w:t>
      </w:r>
      <w:r w:rsidRPr="001C21DC">
        <w:rPr>
          <w:lang w:val="en-GB"/>
        </w:rPr>
        <w:t xml:space="preserve">village (the same individual mentioned above). </w:t>
      </w:r>
    </w:p>
    <w:p w:rsidR="00D52A33" w:rsidRPr="001C21DC" w:rsidRDefault="00D52A33" w:rsidP="00D52A33">
      <w:pPr>
        <w:pStyle w:val="ListParagraph"/>
        <w:rPr>
          <w:lang w:val="en-GB"/>
        </w:rPr>
      </w:pPr>
    </w:p>
    <w:p w:rsidR="000833C8" w:rsidRPr="001C21DC" w:rsidRDefault="00201CA1" w:rsidP="000833C8">
      <w:pPr>
        <w:pStyle w:val="ListParagraph"/>
        <w:numPr>
          <w:ilvl w:val="0"/>
          <w:numId w:val="2"/>
        </w:numPr>
        <w:suppressAutoHyphens w:val="0"/>
        <w:contextualSpacing/>
        <w:jc w:val="both"/>
        <w:rPr>
          <w:lang w:val="en-GB"/>
        </w:rPr>
      </w:pPr>
      <w:r w:rsidRPr="001C21DC">
        <w:rPr>
          <w:lang w:val="en-GB"/>
        </w:rPr>
        <w:t xml:space="preserve">The file also contains an </w:t>
      </w:r>
      <w:r w:rsidR="00D52A33" w:rsidRPr="001C21DC">
        <w:rPr>
          <w:lang w:val="en-GB"/>
        </w:rPr>
        <w:t xml:space="preserve">Interoffice </w:t>
      </w:r>
      <w:r w:rsidR="00FF1F95" w:rsidRPr="001C21DC">
        <w:rPr>
          <w:lang w:val="en-GB"/>
        </w:rPr>
        <w:t>M</w:t>
      </w:r>
      <w:r w:rsidR="00D52A33" w:rsidRPr="001C21DC">
        <w:rPr>
          <w:lang w:val="en-GB"/>
        </w:rPr>
        <w:t xml:space="preserve">emorandum of 5 February 2001 </w:t>
      </w:r>
      <w:r w:rsidRPr="001C21DC">
        <w:rPr>
          <w:lang w:val="en-GB"/>
        </w:rPr>
        <w:t>from UNMIK Central Information Centre to the Assistant Director of Investigations</w:t>
      </w:r>
      <w:r w:rsidR="00E6570B" w:rsidRPr="001C21DC">
        <w:rPr>
          <w:lang w:val="en-GB"/>
        </w:rPr>
        <w:t>,</w:t>
      </w:r>
      <w:r w:rsidR="00274A7F" w:rsidRPr="001C21DC">
        <w:rPr>
          <w:lang w:val="en-GB"/>
        </w:rPr>
        <w:t xml:space="preserve"> stating that “the alleged existence of </w:t>
      </w:r>
      <w:r w:rsidR="00884C82" w:rsidRPr="001C21DC">
        <w:rPr>
          <w:lang w:val="en-GB"/>
        </w:rPr>
        <w:t>illegal detention centres in Kosovo, which are supposed to be led by members of the so called KLA” had been one of the main issues on the agenda of the</w:t>
      </w:r>
      <w:r w:rsidR="00FF1F95" w:rsidRPr="001C21DC">
        <w:rPr>
          <w:lang w:val="en-GB"/>
        </w:rPr>
        <w:t xml:space="preserve"> Joint Implementation Commission’s meetings concerning</w:t>
      </w:r>
      <w:r w:rsidR="00884C82" w:rsidRPr="001C21DC">
        <w:rPr>
          <w:lang w:val="en-GB"/>
        </w:rPr>
        <w:t xml:space="preserve"> the implementation of the Military Technical Agreement</w:t>
      </w:r>
      <w:r w:rsidR="00FF1F95" w:rsidRPr="001C21DC">
        <w:rPr>
          <w:lang w:val="en-GB"/>
        </w:rPr>
        <w:t xml:space="preserve"> (see § </w:t>
      </w:r>
      <w:r w:rsidR="005A35A3">
        <w:fldChar w:fldCharType="begin"/>
      </w:r>
      <w:r w:rsidR="005A35A3">
        <w:instrText xml:space="preserve"> REF _Ref390950916 \r \h  \* MERGEFORMAT </w:instrText>
      </w:r>
      <w:r w:rsidR="005A35A3">
        <w:fldChar w:fldCharType="separate"/>
      </w:r>
      <w:r w:rsidR="00D0695D" w:rsidRPr="00D0695D">
        <w:rPr>
          <w:lang w:val="en-GB"/>
        </w:rPr>
        <w:t>18</w:t>
      </w:r>
      <w:r w:rsidR="005A35A3">
        <w:fldChar w:fldCharType="end"/>
      </w:r>
      <w:r w:rsidR="00FF1F95" w:rsidRPr="001C21DC">
        <w:rPr>
          <w:lang w:val="en-GB"/>
        </w:rPr>
        <w:t xml:space="preserve"> above)</w:t>
      </w:r>
      <w:r w:rsidR="00E35F7E" w:rsidRPr="001C21DC">
        <w:rPr>
          <w:lang w:val="en-GB"/>
        </w:rPr>
        <w:t>. A list of</w:t>
      </w:r>
      <w:r w:rsidR="00134D3E" w:rsidRPr="001C21DC">
        <w:rPr>
          <w:lang w:val="en-GB"/>
        </w:rPr>
        <w:t xml:space="preserve"> illegal detention centres</w:t>
      </w:r>
      <w:r w:rsidR="00884C82" w:rsidRPr="001C21DC">
        <w:rPr>
          <w:lang w:val="en-GB"/>
        </w:rPr>
        <w:t xml:space="preserve"> had been handed </w:t>
      </w:r>
      <w:r w:rsidR="00134D3E" w:rsidRPr="001C21DC">
        <w:rPr>
          <w:lang w:val="en-GB"/>
        </w:rPr>
        <w:t>over by the Serbian delegation in the</w:t>
      </w:r>
      <w:r w:rsidR="00884C82" w:rsidRPr="001C21DC">
        <w:rPr>
          <w:lang w:val="en-GB"/>
        </w:rPr>
        <w:t xml:space="preserve"> Joint Implementation Commission</w:t>
      </w:r>
      <w:r w:rsidR="00FF1F95" w:rsidRPr="001C21DC">
        <w:rPr>
          <w:lang w:val="en-GB"/>
        </w:rPr>
        <w:t xml:space="preserve"> to the UNMIK Assistant Director of I</w:t>
      </w:r>
      <w:r w:rsidR="00134D3E" w:rsidRPr="001C21DC">
        <w:rPr>
          <w:lang w:val="en-GB"/>
        </w:rPr>
        <w:t>nvestigations, and from him to the “regional headquarters”</w:t>
      </w:r>
      <w:r w:rsidR="00E6570B" w:rsidRPr="001C21DC">
        <w:rPr>
          <w:lang w:val="en-GB"/>
        </w:rPr>
        <w:t>,</w:t>
      </w:r>
      <w:r w:rsidR="00134D3E" w:rsidRPr="001C21DC">
        <w:rPr>
          <w:lang w:val="en-GB"/>
        </w:rPr>
        <w:t xml:space="preserve"> wit</w:t>
      </w:r>
      <w:r w:rsidR="00E6570B" w:rsidRPr="001C21DC">
        <w:rPr>
          <w:lang w:val="en-GB"/>
        </w:rPr>
        <w:t xml:space="preserve">h the request to investigate </w:t>
      </w:r>
      <w:r w:rsidR="00134D3E" w:rsidRPr="001C21DC">
        <w:rPr>
          <w:lang w:val="en-GB"/>
        </w:rPr>
        <w:t xml:space="preserve">those places and revert back to him on a weekly basis. </w:t>
      </w:r>
      <w:r w:rsidR="00D03633" w:rsidRPr="001C21DC">
        <w:rPr>
          <w:lang w:val="en-GB"/>
        </w:rPr>
        <w:t>D</w:t>
      </w:r>
      <w:r w:rsidR="00134D3E" w:rsidRPr="001C21DC">
        <w:rPr>
          <w:lang w:val="en-GB"/>
        </w:rPr>
        <w:t>espite an “immense” workload, the regional headquarters had “tried their best” and “came back with several investigation results”</w:t>
      </w:r>
      <w:r w:rsidR="00E6570B" w:rsidRPr="001C21DC">
        <w:rPr>
          <w:lang w:val="en-GB"/>
        </w:rPr>
        <w:t>. As the allegations about</w:t>
      </w:r>
      <w:r w:rsidR="00D03633" w:rsidRPr="001C21DC">
        <w:rPr>
          <w:lang w:val="en-GB"/>
        </w:rPr>
        <w:t xml:space="preserve"> illegal detention centres were mostly “based on rumors”, UNMIK requested more detailed information from the Serbian </w:t>
      </w:r>
      <w:r w:rsidR="00E6570B" w:rsidRPr="001C21DC">
        <w:rPr>
          <w:lang w:val="en-GB"/>
        </w:rPr>
        <w:t xml:space="preserve">delegation, which they provided after a few months </w:t>
      </w:r>
      <w:r w:rsidR="00D03633" w:rsidRPr="001C21DC">
        <w:rPr>
          <w:lang w:val="en-GB"/>
        </w:rPr>
        <w:t>with respect to two detention centres.  The memorandum further states that the problem remained about “who is going to be tasked with investigating this particular matter. It seems to be no doubt that this matter has to be one of the future priorities of the work of UNMIK police as this i</w:t>
      </w:r>
      <w:r w:rsidR="00E6570B" w:rsidRPr="001C21DC">
        <w:rPr>
          <w:lang w:val="en-GB"/>
        </w:rPr>
        <w:t xml:space="preserve">ssue is already discussed on a </w:t>
      </w:r>
      <w:r w:rsidR="00D03633" w:rsidRPr="001C21DC">
        <w:rPr>
          <w:lang w:val="en-GB"/>
        </w:rPr>
        <w:t>politica</w:t>
      </w:r>
      <w:r w:rsidR="00E6570B" w:rsidRPr="001C21DC">
        <w:rPr>
          <w:lang w:val="en-GB"/>
        </w:rPr>
        <w:t>l level as well and therefore a</w:t>
      </w:r>
      <w:r w:rsidR="00D03633" w:rsidRPr="001C21DC">
        <w:rPr>
          <w:lang w:val="en-GB"/>
        </w:rPr>
        <w:t xml:space="preserve"> solution is urgently required”. </w:t>
      </w:r>
      <w:r w:rsidR="000C1B61" w:rsidRPr="001C21DC">
        <w:rPr>
          <w:lang w:val="en-GB"/>
        </w:rPr>
        <w:t>It is stated in the memorandum that the results of “two investigation examples” w</w:t>
      </w:r>
      <w:r w:rsidR="00FE1635" w:rsidRPr="001C21DC">
        <w:rPr>
          <w:lang w:val="en-GB"/>
        </w:rPr>
        <w:t xml:space="preserve">ere being forwarded; however no further documents are </w:t>
      </w:r>
      <w:r w:rsidR="000C1B61" w:rsidRPr="001C21DC">
        <w:rPr>
          <w:lang w:val="en-GB"/>
        </w:rPr>
        <w:t>included in the investigative file</w:t>
      </w:r>
      <w:r w:rsidR="00FE1635" w:rsidRPr="001C21DC">
        <w:rPr>
          <w:lang w:val="en-GB"/>
        </w:rPr>
        <w:t xml:space="preserve"> submitted to the Panel</w:t>
      </w:r>
      <w:r w:rsidR="000C1B61" w:rsidRPr="001C21DC">
        <w:rPr>
          <w:lang w:val="en-GB"/>
        </w:rPr>
        <w:t xml:space="preserve">. </w:t>
      </w:r>
    </w:p>
    <w:p w:rsidR="003C1CFF" w:rsidRPr="001C21DC" w:rsidRDefault="003C1CFF" w:rsidP="00FF1F95">
      <w:pPr>
        <w:rPr>
          <w:lang w:val="en-GB"/>
        </w:rPr>
      </w:pPr>
    </w:p>
    <w:p w:rsidR="00E6570B" w:rsidRPr="001C21DC" w:rsidRDefault="00E6570B" w:rsidP="00E6570B">
      <w:pPr>
        <w:pStyle w:val="ListParagraph"/>
        <w:numPr>
          <w:ilvl w:val="0"/>
          <w:numId w:val="2"/>
        </w:numPr>
        <w:suppressAutoHyphens w:val="0"/>
        <w:contextualSpacing/>
        <w:jc w:val="both"/>
        <w:rPr>
          <w:lang w:val="en-GB"/>
        </w:rPr>
      </w:pPr>
      <w:bookmarkStart w:id="10" w:name="_Ref390954412"/>
      <w:r w:rsidRPr="001C21DC">
        <w:rPr>
          <w:lang w:val="en-GB"/>
        </w:rPr>
        <w:t>Among the investigative files is a document dating back to October 2003 prepared by UNMIK DoJ for the ICTY summarising the information about a suspected ring of trafficking in human beings by the KLA between Kosovo and Albania for the purpose of forced prostitution and organ harvesting</w:t>
      </w:r>
      <w:bookmarkEnd w:id="10"/>
      <w:r w:rsidRPr="001C21DC">
        <w:rPr>
          <w:lang w:val="en-GB"/>
        </w:rPr>
        <w:t xml:space="preserve">. According to this document, M.V., D.S. and M.Đ. were among the “captives” taken to Albania and kept in a detention facility in Northern Albania in July or early August 1999 for this purpose. </w:t>
      </w:r>
    </w:p>
    <w:p w:rsidR="00E6570B" w:rsidRPr="001C21DC" w:rsidRDefault="00E6570B" w:rsidP="00E6570B">
      <w:pPr>
        <w:contextualSpacing/>
        <w:jc w:val="both"/>
        <w:rPr>
          <w:lang w:val="en-GB"/>
        </w:rPr>
      </w:pPr>
    </w:p>
    <w:p w:rsidR="00E6570B" w:rsidRPr="001C21DC" w:rsidRDefault="00E6570B" w:rsidP="00E6570B">
      <w:pPr>
        <w:pStyle w:val="ListParagraph"/>
        <w:numPr>
          <w:ilvl w:val="0"/>
          <w:numId w:val="2"/>
        </w:numPr>
        <w:jc w:val="both"/>
        <w:rPr>
          <w:szCs w:val="20"/>
          <w:lang w:val="en-GB" w:eastAsia="en-GB"/>
        </w:rPr>
      </w:pPr>
      <w:r w:rsidRPr="001C21DC">
        <w:t xml:space="preserve">There is no further documentation in the file concerning this matter. As far as the Panel is aware, no relevant indictments have been issued by the ICTY. However, in spring 2011, </w:t>
      </w:r>
      <w:r w:rsidRPr="001C21DC">
        <w:rPr>
          <w:szCs w:val="20"/>
          <w:lang w:val="en-GB" w:eastAsia="en-GB"/>
        </w:rPr>
        <w:t xml:space="preserve">following the issuance of the Council of Europe report </w:t>
      </w:r>
      <w:r w:rsidRPr="001C21DC">
        <w:rPr>
          <w:i/>
          <w:szCs w:val="20"/>
          <w:lang w:val="en-GB" w:eastAsia="en-GB"/>
        </w:rPr>
        <w:t>“Inhuman treatment of people and illicit trafficking in human organs in Kosovo”</w:t>
      </w:r>
      <w:r w:rsidRPr="001C21DC">
        <w:rPr>
          <w:szCs w:val="20"/>
          <w:lang w:val="en-GB" w:eastAsia="en-GB"/>
        </w:rPr>
        <w:t>,</w:t>
      </w:r>
      <w:r w:rsidRPr="001C21DC">
        <w:rPr>
          <w:i/>
          <w:szCs w:val="20"/>
          <w:lang w:val="en-GB" w:eastAsia="en-GB"/>
        </w:rPr>
        <w:t xml:space="preserve"> </w:t>
      </w:r>
      <w:r w:rsidR="001C21DC">
        <w:t>the</w:t>
      </w:r>
      <w:r w:rsidR="000841CF" w:rsidRPr="001C21DC">
        <w:t xml:space="preserve"> EU</w:t>
      </w:r>
      <w:r w:rsidRPr="001C21DC">
        <w:t xml:space="preserve"> Special Investig</w:t>
      </w:r>
      <w:r w:rsidR="008E7019" w:rsidRPr="001C21DC">
        <w:t>ative Task Force was established</w:t>
      </w:r>
      <w:r w:rsidRPr="001C21DC">
        <w:rPr>
          <w:szCs w:val="20"/>
          <w:lang w:val="en-GB" w:eastAsia="en-GB"/>
        </w:rPr>
        <w:t xml:space="preserve"> with the mandate to investigate, among others, the allegations concerning organ harvesting. </w:t>
      </w:r>
    </w:p>
    <w:p w:rsidR="003809B1" w:rsidRPr="001C21DC" w:rsidRDefault="003809B1" w:rsidP="00E6570B">
      <w:pPr>
        <w:contextualSpacing/>
        <w:jc w:val="both"/>
        <w:rPr>
          <w:lang w:val="en-GB"/>
        </w:rPr>
      </w:pPr>
    </w:p>
    <w:p w:rsidR="003809B1" w:rsidRPr="0031462D" w:rsidRDefault="00E37072" w:rsidP="0031462D">
      <w:pPr>
        <w:contextualSpacing/>
        <w:jc w:val="both"/>
        <w:rPr>
          <w:i/>
          <w:lang w:val="en-GB"/>
        </w:rPr>
      </w:pPr>
      <w:r w:rsidRPr="0031462D">
        <w:rPr>
          <w:i/>
          <w:lang w:val="en-GB"/>
        </w:rPr>
        <w:t>Exhumation</w:t>
      </w:r>
      <w:r w:rsidR="003809B1" w:rsidRPr="0031462D">
        <w:rPr>
          <w:i/>
          <w:lang w:val="en-GB"/>
        </w:rPr>
        <w:t xml:space="preserve"> of unidentified bo</w:t>
      </w:r>
      <w:r w:rsidRPr="0031462D">
        <w:rPr>
          <w:i/>
          <w:lang w:val="en-GB"/>
        </w:rPr>
        <w:t>dies in Prishtinë/Priština (</w:t>
      </w:r>
      <w:r w:rsidR="003809B1" w:rsidRPr="0031462D">
        <w:rPr>
          <w:i/>
          <w:lang w:val="en-GB"/>
        </w:rPr>
        <w:t>2003)</w:t>
      </w:r>
    </w:p>
    <w:p w:rsidR="000C483D" w:rsidRPr="001C21DC" w:rsidRDefault="000C483D" w:rsidP="002664D3">
      <w:pPr>
        <w:rPr>
          <w:bCs/>
          <w:iCs/>
          <w:lang w:val="en-GB"/>
        </w:rPr>
      </w:pPr>
    </w:p>
    <w:p w:rsidR="002E15BB" w:rsidRPr="001C21DC" w:rsidRDefault="006E3821" w:rsidP="003E55C2">
      <w:pPr>
        <w:pStyle w:val="ListParagraph"/>
        <w:numPr>
          <w:ilvl w:val="0"/>
          <w:numId w:val="2"/>
        </w:numPr>
        <w:jc w:val="both"/>
        <w:rPr>
          <w:lang w:val="en-GB"/>
        </w:rPr>
      </w:pPr>
      <w:r w:rsidRPr="001C21DC">
        <w:rPr>
          <w:bCs/>
          <w:iCs/>
          <w:lang w:val="en-GB"/>
        </w:rPr>
        <w:t xml:space="preserve"> </w:t>
      </w:r>
      <w:r w:rsidR="000A622E" w:rsidRPr="003E55C2">
        <w:t>According</w:t>
      </w:r>
      <w:r w:rsidR="000A622E" w:rsidRPr="001C21DC">
        <w:rPr>
          <w:bCs/>
          <w:iCs/>
          <w:lang w:val="en-GB"/>
        </w:rPr>
        <w:t xml:space="preserve"> to </w:t>
      </w:r>
      <w:r w:rsidR="00730189" w:rsidRPr="001C21DC">
        <w:rPr>
          <w:bCs/>
          <w:iCs/>
          <w:lang w:val="en-GB"/>
        </w:rPr>
        <w:t>documents of the UNMIK and EULEX OMPF</w:t>
      </w:r>
      <w:r w:rsidR="002664D3" w:rsidRPr="001C21DC">
        <w:rPr>
          <w:bCs/>
          <w:iCs/>
          <w:lang w:val="en-GB"/>
        </w:rPr>
        <w:t xml:space="preserve">, </w:t>
      </w:r>
      <w:r w:rsidR="00065D31" w:rsidRPr="001C21DC">
        <w:rPr>
          <w:bCs/>
          <w:iCs/>
          <w:lang w:val="en-GB"/>
        </w:rPr>
        <w:t>the mortal remains</w:t>
      </w:r>
      <w:r w:rsidR="002664D3" w:rsidRPr="001C21DC">
        <w:rPr>
          <w:bCs/>
          <w:iCs/>
          <w:lang w:val="en-GB"/>
        </w:rPr>
        <w:t xml:space="preserve"> of several unidentified persons, among them those</w:t>
      </w:r>
      <w:r w:rsidR="003C7511" w:rsidRPr="001C21DC">
        <w:rPr>
          <w:bCs/>
          <w:iCs/>
          <w:lang w:val="en-GB"/>
        </w:rPr>
        <w:t xml:space="preserve"> </w:t>
      </w:r>
      <w:r w:rsidR="00E6570B" w:rsidRPr="001C21DC">
        <w:rPr>
          <w:bCs/>
          <w:iCs/>
          <w:lang w:val="en-GB"/>
        </w:rPr>
        <w:t xml:space="preserve">later identified as </w:t>
      </w:r>
      <w:r w:rsidR="008E7019" w:rsidRPr="001C21DC">
        <w:rPr>
          <w:bCs/>
          <w:iCs/>
          <w:lang w:val="en-GB"/>
        </w:rPr>
        <w:t>those</w:t>
      </w:r>
      <w:r w:rsidR="00E6570B" w:rsidRPr="001C21DC">
        <w:rPr>
          <w:bCs/>
          <w:iCs/>
          <w:lang w:val="en-GB"/>
        </w:rPr>
        <w:t xml:space="preserve"> of</w:t>
      </w:r>
      <w:r w:rsidR="002664D3" w:rsidRPr="001C21DC">
        <w:rPr>
          <w:bCs/>
          <w:iCs/>
          <w:lang w:val="en-GB"/>
        </w:rPr>
        <w:t xml:space="preserve"> </w:t>
      </w:r>
      <w:r w:rsidR="00E6570B" w:rsidRPr="001C21DC">
        <w:rPr>
          <w:bCs/>
          <w:iCs/>
          <w:lang w:val="en-GB"/>
        </w:rPr>
        <w:t xml:space="preserve">M.V., M.Đ. and </w:t>
      </w:r>
      <w:r w:rsidR="007C3662" w:rsidRPr="001C21DC">
        <w:rPr>
          <w:bCs/>
          <w:iCs/>
          <w:lang w:val="en-GB"/>
        </w:rPr>
        <w:t>D.S.</w:t>
      </w:r>
      <w:r w:rsidR="002664D3" w:rsidRPr="001C21DC">
        <w:rPr>
          <w:bCs/>
          <w:iCs/>
          <w:lang w:val="en-GB"/>
        </w:rPr>
        <w:t xml:space="preserve">, were located in the </w:t>
      </w:r>
      <w:r w:rsidR="003C7511" w:rsidRPr="001C21DC">
        <w:rPr>
          <w:bCs/>
          <w:iCs/>
          <w:lang w:val="en-GB"/>
        </w:rPr>
        <w:t>“</w:t>
      </w:r>
      <w:r w:rsidR="002664D3" w:rsidRPr="001C21DC">
        <w:rPr>
          <w:bCs/>
          <w:iCs/>
          <w:lang w:val="en-GB"/>
        </w:rPr>
        <w:t>Dragodan</w:t>
      </w:r>
      <w:r w:rsidR="003C7511" w:rsidRPr="001C21DC">
        <w:rPr>
          <w:bCs/>
          <w:iCs/>
          <w:lang w:val="en-GB"/>
        </w:rPr>
        <w:t>”</w:t>
      </w:r>
      <w:r w:rsidR="002664D3" w:rsidRPr="001C21DC">
        <w:rPr>
          <w:bCs/>
          <w:iCs/>
          <w:lang w:val="en-GB"/>
        </w:rPr>
        <w:t xml:space="preserve"> cemetery in Prishtinë/Priština in June 2003.  </w:t>
      </w:r>
    </w:p>
    <w:p w:rsidR="002E15BB" w:rsidRPr="001C21DC" w:rsidRDefault="002E15BB" w:rsidP="002E15BB">
      <w:pPr>
        <w:pStyle w:val="ListParagraph"/>
        <w:suppressAutoHyphens w:val="0"/>
        <w:ind w:left="360"/>
        <w:contextualSpacing/>
        <w:jc w:val="both"/>
        <w:rPr>
          <w:lang w:val="en-GB"/>
        </w:rPr>
      </w:pPr>
    </w:p>
    <w:p w:rsidR="002664D3" w:rsidRPr="001C21DC" w:rsidRDefault="002664D3" w:rsidP="002E15BB">
      <w:pPr>
        <w:pStyle w:val="ListParagraph"/>
        <w:numPr>
          <w:ilvl w:val="0"/>
          <w:numId w:val="2"/>
        </w:numPr>
        <w:suppressAutoHyphens w:val="0"/>
        <w:contextualSpacing/>
        <w:jc w:val="both"/>
        <w:rPr>
          <w:lang w:val="en-GB"/>
        </w:rPr>
      </w:pPr>
      <w:r w:rsidRPr="001C21DC">
        <w:rPr>
          <w:bCs/>
          <w:iCs/>
          <w:lang w:val="en-GB"/>
        </w:rPr>
        <w:t xml:space="preserve">The file contains the reports of autopsies conducted </w:t>
      </w:r>
      <w:r w:rsidR="002E15BB" w:rsidRPr="001C21DC">
        <w:rPr>
          <w:bCs/>
          <w:iCs/>
          <w:lang w:val="en-GB"/>
        </w:rPr>
        <w:t xml:space="preserve">by the OMPF </w:t>
      </w:r>
      <w:r w:rsidRPr="001C21DC">
        <w:rPr>
          <w:bCs/>
          <w:iCs/>
          <w:lang w:val="en-GB"/>
        </w:rPr>
        <w:t>on 4 December 2003 on the mortal remains of three unidentified persons, marked with ICTY</w:t>
      </w:r>
      <w:r w:rsidR="00E6570B" w:rsidRPr="001C21DC">
        <w:rPr>
          <w:bCs/>
          <w:iCs/>
          <w:lang w:val="en-GB"/>
        </w:rPr>
        <w:t xml:space="preserve"> </w:t>
      </w:r>
      <w:r w:rsidR="002E15BB" w:rsidRPr="001C21DC">
        <w:rPr>
          <w:bCs/>
          <w:iCs/>
          <w:lang w:val="en-GB"/>
        </w:rPr>
        <w:t xml:space="preserve">nos YKA60/007BP, YKA60/009BP and </w:t>
      </w:r>
      <w:r w:rsidR="009145FD" w:rsidRPr="001C21DC">
        <w:rPr>
          <w:bCs/>
          <w:iCs/>
          <w:lang w:val="en-GB"/>
        </w:rPr>
        <w:t>YKA60/010</w:t>
      </w:r>
      <w:r w:rsidR="002E15BB" w:rsidRPr="001C21DC">
        <w:rPr>
          <w:bCs/>
          <w:iCs/>
          <w:lang w:val="en-GB"/>
        </w:rPr>
        <w:t>BP respectively. According to the pathologist, the mortal remai</w:t>
      </w:r>
      <w:r w:rsidR="008E7019" w:rsidRPr="001C21DC">
        <w:rPr>
          <w:bCs/>
          <w:iCs/>
          <w:lang w:val="en-GB"/>
        </w:rPr>
        <w:t xml:space="preserve">ns were largely incomplete and </w:t>
      </w:r>
      <w:r w:rsidR="002E15BB" w:rsidRPr="001C21DC">
        <w:rPr>
          <w:bCs/>
          <w:iCs/>
          <w:lang w:val="en-GB"/>
        </w:rPr>
        <w:t xml:space="preserve">for this reason the cause of death of the three unknown persons could not be ascertained. </w:t>
      </w:r>
    </w:p>
    <w:p w:rsidR="00DF31F6" w:rsidRPr="001C21DC" w:rsidRDefault="00DF31F6" w:rsidP="00DF31F6">
      <w:pPr>
        <w:rPr>
          <w:lang w:val="en-GB"/>
        </w:rPr>
      </w:pPr>
    </w:p>
    <w:p w:rsidR="009145FD" w:rsidRPr="001C21DC" w:rsidRDefault="00DF31F6" w:rsidP="003D4ADE">
      <w:pPr>
        <w:contextualSpacing/>
        <w:jc w:val="both"/>
        <w:rPr>
          <w:i/>
          <w:lang w:val="en-GB"/>
        </w:rPr>
      </w:pPr>
      <w:r w:rsidRPr="001C21DC">
        <w:rPr>
          <w:i/>
          <w:lang w:val="en-GB"/>
        </w:rPr>
        <w:t>MPU Investigation #</w:t>
      </w:r>
      <w:r w:rsidRPr="003D4ADE">
        <w:rPr>
          <w:i/>
          <w:lang w:val="en-GB"/>
        </w:rPr>
        <w:t>0348</w:t>
      </w:r>
      <w:r w:rsidRPr="001C21DC">
        <w:rPr>
          <w:bCs/>
          <w:i/>
          <w:iCs/>
          <w:lang w:val="en-GB"/>
        </w:rPr>
        <w:t>/INV/04</w:t>
      </w:r>
      <w:r w:rsidR="009145FD" w:rsidRPr="001C21DC">
        <w:rPr>
          <w:bCs/>
          <w:i/>
          <w:iCs/>
          <w:lang w:val="en-GB"/>
        </w:rPr>
        <w:t>;</w:t>
      </w:r>
      <w:r w:rsidR="004D52F6" w:rsidRPr="001C21DC">
        <w:rPr>
          <w:bCs/>
          <w:i/>
          <w:iCs/>
          <w:lang w:val="en-GB"/>
        </w:rPr>
        <w:t xml:space="preserve"> </w:t>
      </w:r>
      <w:r w:rsidR="009145FD" w:rsidRPr="001C21DC">
        <w:rPr>
          <w:i/>
          <w:lang w:val="en-GB"/>
        </w:rPr>
        <w:t>Identification and handing over of the mortal remain</w:t>
      </w:r>
      <w:r w:rsidR="00E6570B" w:rsidRPr="001C21DC">
        <w:rPr>
          <w:i/>
          <w:lang w:val="en-GB"/>
        </w:rPr>
        <w:t>s</w:t>
      </w:r>
      <w:r w:rsidR="00AD007D" w:rsidRPr="001C21DC">
        <w:rPr>
          <w:i/>
          <w:lang w:val="en-GB"/>
        </w:rPr>
        <w:t xml:space="preserve"> of</w:t>
      </w:r>
      <w:r w:rsidR="009145FD" w:rsidRPr="001C21DC">
        <w:rPr>
          <w:i/>
          <w:lang w:val="en-GB"/>
        </w:rPr>
        <w:t xml:space="preserve"> D.S. (April-November 2004)</w:t>
      </w:r>
    </w:p>
    <w:p w:rsidR="00DF31F6" w:rsidRPr="001C21DC" w:rsidRDefault="00DF31F6" w:rsidP="00EF536A">
      <w:pPr>
        <w:rPr>
          <w:bCs/>
          <w:iCs/>
          <w:lang w:val="en-GB"/>
        </w:rPr>
      </w:pPr>
    </w:p>
    <w:p w:rsidR="00DF31F6" w:rsidRPr="001C21DC" w:rsidRDefault="00DF31F6" w:rsidP="002E15BB">
      <w:pPr>
        <w:pStyle w:val="ListParagraph"/>
        <w:numPr>
          <w:ilvl w:val="0"/>
          <w:numId w:val="2"/>
        </w:numPr>
        <w:suppressAutoHyphens w:val="0"/>
        <w:contextualSpacing/>
        <w:jc w:val="both"/>
        <w:rPr>
          <w:lang w:val="en-GB"/>
        </w:rPr>
      </w:pPr>
      <w:r w:rsidRPr="001C21DC">
        <w:rPr>
          <w:bCs/>
          <w:iCs/>
          <w:lang w:val="en-GB"/>
        </w:rPr>
        <w:t xml:space="preserve"> </w:t>
      </w:r>
      <w:bookmarkStart w:id="11" w:name="_Ref391383064"/>
      <w:r w:rsidR="00E50F4F" w:rsidRPr="001C21DC">
        <w:rPr>
          <w:bCs/>
          <w:iCs/>
          <w:lang w:val="en-GB"/>
        </w:rPr>
        <w:t>From 13 April to 17 April 2004,</w:t>
      </w:r>
      <w:r w:rsidR="00210C45" w:rsidRPr="001C21DC">
        <w:rPr>
          <w:bCs/>
          <w:iCs/>
          <w:lang w:val="en-GB"/>
        </w:rPr>
        <w:t xml:space="preserve"> the</w:t>
      </w:r>
      <w:r w:rsidR="00E6570B" w:rsidRPr="001C21DC">
        <w:rPr>
          <w:bCs/>
          <w:iCs/>
          <w:lang w:val="en-GB"/>
        </w:rPr>
        <w:t xml:space="preserve"> UNMIK</w:t>
      </w:r>
      <w:r w:rsidR="00210C45" w:rsidRPr="001C21DC">
        <w:rPr>
          <w:bCs/>
          <w:iCs/>
          <w:lang w:val="en-GB"/>
        </w:rPr>
        <w:t xml:space="preserve"> MPU</w:t>
      </w:r>
      <w:r w:rsidR="008B504E" w:rsidRPr="001C21DC">
        <w:rPr>
          <w:bCs/>
          <w:iCs/>
          <w:lang w:val="en-GB"/>
        </w:rPr>
        <w:t xml:space="preserve"> </w:t>
      </w:r>
      <w:r w:rsidR="00E6570B" w:rsidRPr="001C21DC">
        <w:rPr>
          <w:bCs/>
          <w:iCs/>
          <w:lang w:val="en-GB"/>
        </w:rPr>
        <w:t>conducted an ante-</w:t>
      </w:r>
      <w:r w:rsidR="00E50F4F" w:rsidRPr="001C21DC">
        <w:rPr>
          <w:bCs/>
          <w:iCs/>
          <w:lang w:val="en-GB"/>
        </w:rPr>
        <w:t xml:space="preserve">mortem investigation, </w:t>
      </w:r>
      <w:r w:rsidR="00E50F4F" w:rsidRPr="001C21DC">
        <w:rPr>
          <w:lang w:val="en-GB"/>
        </w:rPr>
        <w:t>#</w:t>
      </w:r>
      <w:r w:rsidR="00E50F4F" w:rsidRPr="001C21DC">
        <w:rPr>
          <w:bCs/>
          <w:iCs/>
          <w:lang w:val="en-GB"/>
        </w:rPr>
        <w:t>0348/INV/04</w:t>
      </w:r>
      <w:r w:rsidR="00E50F4F" w:rsidRPr="001C21DC">
        <w:rPr>
          <w:bCs/>
          <w:i/>
          <w:iCs/>
          <w:lang w:val="en-GB"/>
        </w:rPr>
        <w:t xml:space="preserve">, </w:t>
      </w:r>
      <w:r w:rsidR="00E50F4F" w:rsidRPr="001C21DC">
        <w:rPr>
          <w:bCs/>
          <w:iCs/>
          <w:lang w:val="en-GB"/>
        </w:rPr>
        <w:t xml:space="preserve">into the </w:t>
      </w:r>
      <w:r w:rsidR="0019795E" w:rsidRPr="001C21DC">
        <w:rPr>
          <w:bCs/>
          <w:iCs/>
          <w:lang w:val="en-GB"/>
        </w:rPr>
        <w:t>abduction</w:t>
      </w:r>
      <w:r w:rsidR="00E50F4F" w:rsidRPr="001C21DC">
        <w:rPr>
          <w:bCs/>
          <w:iCs/>
          <w:lang w:val="en-GB"/>
        </w:rPr>
        <w:t xml:space="preserve"> of </w:t>
      </w:r>
      <w:r w:rsidR="007C3662" w:rsidRPr="001C21DC">
        <w:rPr>
          <w:lang w:val="en-GB"/>
        </w:rPr>
        <w:t>M.V.</w:t>
      </w:r>
      <w:r w:rsidR="00E6570B" w:rsidRPr="001C21DC">
        <w:rPr>
          <w:lang w:val="en-GB"/>
        </w:rPr>
        <w:t xml:space="preserve">, </w:t>
      </w:r>
      <w:r w:rsidR="007C3662" w:rsidRPr="001C21DC">
        <w:rPr>
          <w:lang w:val="en-GB"/>
        </w:rPr>
        <w:t xml:space="preserve">M.Đ. </w:t>
      </w:r>
      <w:r w:rsidR="007C3662" w:rsidRPr="001C21DC">
        <w:rPr>
          <w:bCs/>
          <w:iCs/>
          <w:lang w:val="en-GB"/>
        </w:rPr>
        <w:t xml:space="preserve">and D.S., </w:t>
      </w:r>
      <w:r w:rsidR="00E50F4F" w:rsidRPr="001C21DC">
        <w:rPr>
          <w:bCs/>
          <w:iCs/>
          <w:lang w:val="en-GB"/>
        </w:rPr>
        <w:t>An ant</w:t>
      </w:r>
      <w:r w:rsidR="008E7019" w:rsidRPr="001C21DC">
        <w:rPr>
          <w:bCs/>
          <w:iCs/>
          <w:lang w:val="en-GB"/>
        </w:rPr>
        <w:t>e-</w:t>
      </w:r>
      <w:r w:rsidR="00E50F4F" w:rsidRPr="001C21DC">
        <w:rPr>
          <w:bCs/>
          <w:iCs/>
          <w:lang w:val="en-GB"/>
        </w:rPr>
        <w:t xml:space="preserve">mortem investigation report, </w:t>
      </w:r>
      <w:r w:rsidR="002679CB" w:rsidRPr="001C21DC">
        <w:rPr>
          <w:bCs/>
          <w:iCs/>
          <w:lang w:val="en-GB"/>
        </w:rPr>
        <w:t>which cross-references</w:t>
      </w:r>
      <w:r w:rsidR="00E50F4F" w:rsidRPr="001C21DC">
        <w:rPr>
          <w:bCs/>
          <w:iCs/>
          <w:lang w:val="en-GB"/>
        </w:rPr>
        <w:t xml:space="preserve"> MPU case file no. 1999-000107, </w:t>
      </w:r>
      <w:r w:rsidR="00E6570B" w:rsidRPr="001C21DC">
        <w:rPr>
          <w:bCs/>
          <w:iCs/>
          <w:lang w:val="en-GB"/>
        </w:rPr>
        <w:t xml:space="preserve">states </w:t>
      </w:r>
      <w:r w:rsidR="00E50F4F" w:rsidRPr="001C21DC">
        <w:rPr>
          <w:bCs/>
          <w:iCs/>
          <w:lang w:val="en-GB"/>
        </w:rPr>
        <w:t>under the field “Summary of information received to in</w:t>
      </w:r>
      <w:r w:rsidR="00E6570B" w:rsidRPr="001C21DC">
        <w:rPr>
          <w:bCs/>
          <w:iCs/>
          <w:lang w:val="en-GB"/>
        </w:rPr>
        <w:t>itiate the investigation”</w:t>
      </w:r>
      <w:r w:rsidR="00E50F4F" w:rsidRPr="001C21DC">
        <w:rPr>
          <w:bCs/>
          <w:iCs/>
          <w:lang w:val="en-GB"/>
        </w:rPr>
        <w:t xml:space="preserve"> that </w:t>
      </w:r>
      <w:r w:rsidR="007C3662" w:rsidRPr="001C21DC">
        <w:rPr>
          <w:lang w:val="en-GB"/>
        </w:rPr>
        <w:t>M.V.</w:t>
      </w:r>
      <w:r w:rsidR="00E6570B" w:rsidRPr="001C21DC">
        <w:rPr>
          <w:lang w:val="en-GB"/>
        </w:rPr>
        <w:t xml:space="preserve">, </w:t>
      </w:r>
      <w:r w:rsidR="007C3662" w:rsidRPr="001C21DC">
        <w:rPr>
          <w:lang w:val="en-GB"/>
        </w:rPr>
        <w:t xml:space="preserve">M.Đ. </w:t>
      </w:r>
      <w:r w:rsidR="00E6570B" w:rsidRPr="001C21DC">
        <w:rPr>
          <w:bCs/>
          <w:iCs/>
          <w:lang w:val="en-GB"/>
        </w:rPr>
        <w:t xml:space="preserve">and </w:t>
      </w:r>
      <w:r w:rsidR="007C3662" w:rsidRPr="001C21DC">
        <w:rPr>
          <w:bCs/>
          <w:iCs/>
          <w:lang w:val="en-GB"/>
        </w:rPr>
        <w:t>D.S.</w:t>
      </w:r>
      <w:r w:rsidR="002679CB" w:rsidRPr="001C21DC">
        <w:rPr>
          <w:bCs/>
          <w:iCs/>
          <w:lang w:val="en-GB"/>
        </w:rPr>
        <w:t xml:space="preserve"> </w:t>
      </w:r>
      <w:r w:rsidR="0079389C" w:rsidRPr="001C21DC">
        <w:rPr>
          <w:bCs/>
          <w:iCs/>
          <w:lang w:val="en-GB"/>
        </w:rPr>
        <w:t xml:space="preserve">had gone missing on 22 June 1999 and that, </w:t>
      </w:r>
      <w:r w:rsidR="002679CB" w:rsidRPr="001C21DC">
        <w:rPr>
          <w:bCs/>
          <w:iCs/>
          <w:lang w:val="en-GB"/>
        </w:rPr>
        <w:t xml:space="preserve">based on the information </w:t>
      </w:r>
      <w:r w:rsidR="0079389C" w:rsidRPr="001C21DC">
        <w:rPr>
          <w:bCs/>
          <w:iCs/>
          <w:lang w:val="en-GB"/>
        </w:rPr>
        <w:t xml:space="preserve">in the MPU file, they had probably been “stopped by the KLA, and taken into detention in a not known place”. The report states that KFOR had </w:t>
      </w:r>
      <w:r w:rsidR="002679CB" w:rsidRPr="001C21DC">
        <w:rPr>
          <w:bCs/>
          <w:iCs/>
          <w:lang w:val="en-GB"/>
        </w:rPr>
        <w:t>carried</w:t>
      </w:r>
      <w:r w:rsidR="0079389C" w:rsidRPr="001C21DC">
        <w:rPr>
          <w:bCs/>
          <w:iCs/>
          <w:lang w:val="en-GB"/>
        </w:rPr>
        <w:t xml:space="preserve"> </w:t>
      </w:r>
      <w:r w:rsidR="00E6570B" w:rsidRPr="001C21DC">
        <w:rPr>
          <w:bCs/>
          <w:iCs/>
          <w:lang w:val="en-GB"/>
        </w:rPr>
        <w:t xml:space="preserve">out </w:t>
      </w:r>
      <w:r w:rsidR="0079389C" w:rsidRPr="001C21DC">
        <w:rPr>
          <w:bCs/>
          <w:iCs/>
          <w:lang w:val="en-GB"/>
        </w:rPr>
        <w:t>some investigation</w:t>
      </w:r>
      <w:r w:rsidR="002679CB" w:rsidRPr="001C21DC">
        <w:rPr>
          <w:bCs/>
          <w:iCs/>
          <w:lang w:val="en-GB"/>
        </w:rPr>
        <w:t>s</w:t>
      </w:r>
      <w:r w:rsidR="00E6570B" w:rsidRPr="001C21DC">
        <w:rPr>
          <w:bCs/>
          <w:iCs/>
          <w:lang w:val="en-GB"/>
        </w:rPr>
        <w:t xml:space="preserve"> into</w:t>
      </w:r>
      <w:r w:rsidR="0079389C" w:rsidRPr="001C21DC">
        <w:rPr>
          <w:bCs/>
          <w:iCs/>
          <w:lang w:val="en-GB"/>
        </w:rPr>
        <w:t xml:space="preserve"> the case and that “some information regarding possible perpetrators” was available in the file. </w:t>
      </w:r>
      <w:r w:rsidR="00E6570B" w:rsidRPr="001C21DC">
        <w:rPr>
          <w:bCs/>
          <w:iCs/>
          <w:lang w:val="en-GB"/>
        </w:rPr>
        <w:t xml:space="preserve">The report further states that </w:t>
      </w:r>
      <w:r w:rsidR="0079389C" w:rsidRPr="001C21DC">
        <w:rPr>
          <w:bCs/>
          <w:iCs/>
          <w:lang w:val="en-GB"/>
        </w:rPr>
        <w:t>on 10 April 2004, UNMIK investigators took a statement from</w:t>
      </w:r>
      <w:r w:rsidR="00A11EE8" w:rsidRPr="001C21DC">
        <w:rPr>
          <w:bCs/>
          <w:iCs/>
          <w:lang w:val="en-GB"/>
        </w:rPr>
        <w:t xml:space="preserve"> a witness,</w:t>
      </w:r>
      <w:r w:rsidR="0079389C" w:rsidRPr="001C21DC">
        <w:rPr>
          <w:bCs/>
          <w:iCs/>
          <w:lang w:val="en-GB"/>
        </w:rPr>
        <w:t xml:space="preserve"> an UNMIK local staff</w:t>
      </w:r>
      <w:r w:rsidR="00FE1635" w:rsidRPr="001C21DC">
        <w:rPr>
          <w:bCs/>
          <w:iCs/>
          <w:lang w:val="en-GB"/>
        </w:rPr>
        <w:t xml:space="preserve"> member</w:t>
      </w:r>
      <w:r w:rsidR="0079389C" w:rsidRPr="001C21DC">
        <w:rPr>
          <w:bCs/>
          <w:iCs/>
          <w:lang w:val="en-GB"/>
        </w:rPr>
        <w:t xml:space="preserve">. </w:t>
      </w:r>
      <w:r w:rsidR="002679CB" w:rsidRPr="001C21DC">
        <w:rPr>
          <w:bCs/>
          <w:iCs/>
          <w:lang w:val="en-GB"/>
        </w:rPr>
        <w:t>The investigators concluded that there was n</w:t>
      </w:r>
      <w:r w:rsidR="00E6570B" w:rsidRPr="001C21DC">
        <w:rPr>
          <w:bCs/>
          <w:iCs/>
          <w:lang w:val="en-GB"/>
        </w:rPr>
        <w:t>o information as to</w:t>
      </w:r>
      <w:r w:rsidR="002679CB" w:rsidRPr="001C21DC">
        <w:rPr>
          <w:bCs/>
          <w:iCs/>
          <w:lang w:val="en-GB"/>
        </w:rPr>
        <w:t xml:space="preserve"> the whereabouts of the missing persons and that the case should be kept pending.</w:t>
      </w:r>
      <w:bookmarkEnd w:id="11"/>
      <w:r w:rsidR="002679CB" w:rsidRPr="001C21DC">
        <w:rPr>
          <w:bCs/>
          <w:iCs/>
          <w:lang w:val="en-GB"/>
        </w:rPr>
        <w:t xml:space="preserve"> </w:t>
      </w:r>
    </w:p>
    <w:p w:rsidR="002679CB" w:rsidRPr="001C21DC" w:rsidRDefault="002679CB" w:rsidP="002679CB">
      <w:pPr>
        <w:pStyle w:val="ListParagraph"/>
        <w:suppressAutoHyphens w:val="0"/>
        <w:ind w:left="360"/>
        <w:contextualSpacing/>
        <w:jc w:val="both"/>
        <w:rPr>
          <w:lang w:val="en-GB"/>
        </w:rPr>
      </w:pPr>
    </w:p>
    <w:p w:rsidR="002679CB" w:rsidRPr="001C21DC" w:rsidRDefault="002679CB" w:rsidP="00E6570B">
      <w:pPr>
        <w:pStyle w:val="ListParagraph"/>
        <w:numPr>
          <w:ilvl w:val="0"/>
          <w:numId w:val="2"/>
        </w:numPr>
        <w:suppressAutoHyphens w:val="0"/>
        <w:contextualSpacing/>
        <w:jc w:val="both"/>
        <w:rPr>
          <w:lang w:val="en-GB"/>
        </w:rPr>
      </w:pPr>
      <w:r w:rsidRPr="001C21DC">
        <w:rPr>
          <w:lang w:val="en-GB"/>
        </w:rPr>
        <w:t>On 16 April 2004, the</w:t>
      </w:r>
      <w:r w:rsidR="00E6570B" w:rsidRPr="001C21DC">
        <w:rPr>
          <w:lang w:val="en-GB"/>
        </w:rPr>
        <w:t xml:space="preserve"> UNMIK</w:t>
      </w:r>
      <w:r w:rsidRPr="001C21DC">
        <w:rPr>
          <w:lang w:val="en-GB"/>
        </w:rPr>
        <w:t xml:space="preserve"> MPU </w:t>
      </w:r>
      <w:r w:rsidR="00A11EE8" w:rsidRPr="001C21DC">
        <w:rPr>
          <w:lang w:val="en-GB"/>
        </w:rPr>
        <w:t>addres</w:t>
      </w:r>
      <w:r w:rsidR="003C7511" w:rsidRPr="001C21DC">
        <w:rPr>
          <w:lang w:val="en-GB"/>
        </w:rPr>
        <w:t xml:space="preserve">sed a memorandum to the CCIU </w:t>
      </w:r>
      <w:r w:rsidR="00A11EE8" w:rsidRPr="001C21DC">
        <w:rPr>
          <w:lang w:val="en-GB"/>
        </w:rPr>
        <w:t>forward</w:t>
      </w:r>
      <w:r w:rsidR="003C7511" w:rsidRPr="001C21DC">
        <w:rPr>
          <w:lang w:val="en-GB"/>
        </w:rPr>
        <w:t>ing</w:t>
      </w:r>
      <w:r w:rsidR="00A11EE8" w:rsidRPr="001C21DC">
        <w:rPr>
          <w:lang w:val="en-GB"/>
        </w:rPr>
        <w:t xml:space="preserve"> two statements from </w:t>
      </w:r>
      <w:r w:rsidR="003C7511" w:rsidRPr="001C21DC">
        <w:rPr>
          <w:lang w:val="en-GB"/>
        </w:rPr>
        <w:t xml:space="preserve">the witness </w:t>
      </w:r>
      <w:r w:rsidR="00A11EE8" w:rsidRPr="001C21DC">
        <w:rPr>
          <w:lang w:val="en-GB"/>
        </w:rPr>
        <w:t>mentioned above. The memorandum states that “one of the possible perpetrators is mentioned by name” in the MPU file and that, if requested, “this information will be forwarded to the CCIU”. However, only one witness statement is contained in the MPU file</w:t>
      </w:r>
      <w:r w:rsidR="003C7511" w:rsidRPr="001C21DC">
        <w:rPr>
          <w:lang w:val="en-GB"/>
        </w:rPr>
        <w:t xml:space="preserve"> as </w:t>
      </w:r>
      <w:r w:rsidR="00E6570B" w:rsidRPr="001C21DC">
        <w:rPr>
          <w:lang w:val="en-GB"/>
        </w:rPr>
        <w:t xml:space="preserve">made </w:t>
      </w:r>
      <w:r w:rsidR="003C7511" w:rsidRPr="001C21DC">
        <w:rPr>
          <w:lang w:val="en-GB"/>
        </w:rPr>
        <w:t>available to the Panel</w:t>
      </w:r>
      <w:r w:rsidR="00A11EE8" w:rsidRPr="001C21DC">
        <w:rPr>
          <w:lang w:val="en-GB"/>
        </w:rPr>
        <w:t xml:space="preserve">. In this statement, the </w:t>
      </w:r>
      <w:r w:rsidR="00901CE9" w:rsidRPr="001C21DC">
        <w:rPr>
          <w:lang w:val="en-GB"/>
        </w:rPr>
        <w:t xml:space="preserve">witness </w:t>
      </w:r>
      <w:r w:rsidR="003C7511" w:rsidRPr="001C21DC">
        <w:rPr>
          <w:lang w:val="en-GB"/>
        </w:rPr>
        <w:t>stated</w:t>
      </w:r>
      <w:r w:rsidR="00A11EE8" w:rsidRPr="001C21DC">
        <w:rPr>
          <w:lang w:val="en-GB"/>
        </w:rPr>
        <w:t xml:space="preserve"> that</w:t>
      </w:r>
      <w:r w:rsidR="003C7511" w:rsidRPr="001C21DC">
        <w:rPr>
          <w:lang w:val="en-GB"/>
        </w:rPr>
        <w:t>, on 22 June 1999, the day that</w:t>
      </w:r>
      <w:r w:rsidR="00A11EE8" w:rsidRPr="001C21DC">
        <w:rPr>
          <w:lang w:val="en-GB"/>
        </w:rPr>
        <w:t xml:space="preserve"> </w:t>
      </w:r>
      <w:r w:rsidR="002735BE" w:rsidRPr="001C21DC">
        <w:rPr>
          <w:lang w:val="en-GB"/>
        </w:rPr>
        <w:t>M.V.</w:t>
      </w:r>
      <w:r w:rsidR="00E6570B" w:rsidRPr="001C21DC">
        <w:rPr>
          <w:lang w:val="en-GB"/>
        </w:rPr>
        <w:t xml:space="preserve">, </w:t>
      </w:r>
      <w:r w:rsidR="002735BE" w:rsidRPr="001C21DC">
        <w:rPr>
          <w:lang w:val="en-GB"/>
        </w:rPr>
        <w:t xml:space="preserve">M.Đ. </w:t>
      </w:r>
      <w:r w:rsidR="00E6570B" w:rsidRPr="001C21DC">
        <w:rPr>
          <w:bCs/>
          <w:iCs/>
          <w:lang w:val="en-GB"/>
        </w:rPr>
        <w:t xml:space="preserve">and </w:t>
      </w:r>
      <w:r w:rsidR="002735BE" w:rsidRPr="001C21DC">
        <w:rPr>
          <w:bCs/>
          <w:iCs/>
          <w:lang w:val="en-GB"/>
        </w:rPr>
        <w:t xml:space="preserve">D.S. </w:t>
      </w:r>
      <w:r w:rsidR="003C7511" w:rsidRPr="001C21DC">
        <w:rPr>
          <w:bCs/>
          <w:iCs/>
          <w:lang w:val="en-GB"/>
        </w:rPr>
        <w:t>were abducted</w:t>
      </w:r>
      <w:r w:rsidR="00A11EE8" w:rsidRPr="001C21DC">
        <w:rPr>
          <w:bCs/>
          <w:iCs/>
          <w:lang w:val="en-GB"/>
        </w:rPr>
        <w:t xml:space="preserve">, he was working with </w:t>
      </w:r>
      <w:r w:rsidR="003710CF" w:rsidRPr="001C21DC">
        <w:rPr>
          <w:bCs/>
          <w:iCs/>
          <w:lang w:val="en-GB"/>
        </w:rPr>
        <w:t xml:space="preserve">the British </w:t>
      </w:r>
      <w:r w:rsidR="00A11EE8" w:rsidRPr="001C21DC">
        <w:rPr>
          <w:bCs/>
          <w:iCs/>
          <w:lang w:val="en-GB"/>
        </w:rPr>
        <w:t>KFOR</w:t>
      </w:r>
      <w:r w:rsidR="00901CE9" w:rsidRPr="001C21DC">
        <w:rPr>
          <w:bCs/>
          <w:iCs/>
          <w:lang w:val="en-GB"/>
        </w:rPr>
        <w:t xml:space="preserve"> military police</w:t>
      </w:r>
      <w:r w:rsidR="00A11EE8" w:rsidRPr="001C21DC">
        <w:rPr>
          <w:bCs/>
          <w:iCs/>
          <w:lang w:val="en-GB"/>
        </w:rPr>
        <w:t>. Two days after the kidnapp</w:t>
      </w:r>
      <w:r w:rsidR="003C7511" w:rsidRPr="001C21DC">
        <w:rPr>
          <w:bCs/>
          <w:iCs/>
          <w:lang w:val="en-GB"/>
        </w:rPr>
        <w:t>ing, the sister and the brother-in-</w:t>
      </w:r>
      <w:r w:rsidR="00A11EE8" w:rsidRPr="001C21DC">
        <w:rPr>
          <w:bCs/>
          <w:iCs/>
          <w:lang w:val="en-GB"/>
        </w:rPr>
        <w:t xml:space="preserve">law of one of the “kidnapped” </w:t>
      </w:r>
      <w:r w:rsidR="00E6570B" w:rsidRPr="001C21DC">
        <w:rPr>
          <w:bCs/>
          <w:iCs/>
          <w:lang w:val="en-GB"/>
        </w:rPr>
        <w:t xml:space="preserve">persons </w:t>
      </w:r>
      <w:r w:rsidR="00A11EE8" w:rsidRPr="001C21DC">
        <w:rPr>
          <w:bCs/>
          <w:iCs/>
          <w:lang w:val="en-GB"/>
        </w:rPr>
        <w:t>(</w:t>
      </w:r>
      <w:r w:rsidR="003C7511" w:rsidRPr="001C21DC">
        <w:rPr>
          <w:bCs/>
          <w:iCs/>
          <w:lang w:val="en-GB"/>
        </w:rPr>
        <w:t xml:space="preserve">only </w:t>
      </w:r>
      <w:r w:rsidR="00A11EE8" w:rsidRPr="001C21DC">
        <w:rPr>
          <w:bCs/>
          <w:iCs/>
          <w:lang w:val="en-GB"/>
        </w:rPr>
        <w:t xml:space="preserve">surname </w:t>
      </w:r>
      <w:r w:rsidR="003C7511" w:rsidRPr="001C21DC">
        <w:rPr>
          <w:bCs/>
          <w:iCs/>
          <w:lang w:val="en-GB"/>
        </w:rPr>
        <w:t xml:space="preserve">of the brother-in-law </w:t>
      </w:r>
      <w:r w:rsidR="00A11EE8" w:rsidRPr="001C21DC">
        <w:rPr>
          <w:bCs/>
          <w:iCs/>
          <w:lang w:val="en-GB"/>
        </w:rPr>
        <w:t>provided)</w:t>
      </w:r>
      <w:r w:rsidR="003710CF" w:rsidRPr="001C21DC">
        <w:rPr>
          <w:bCs/>
          <w:iCs/>
          <w:lang w:val="en-GB"/>
        </w:rPr>
        <w:t xml:space="preserve"> went to the police station where he was working and reported that they had received information that </w:t>
      </w:r>
      <w:r w:rsidR="00E6570B" w:rsidRPr="001C21DC">
        <w:rPr>
          <w:bCs/>
          <w:iCs/>
          <w:lang w:val="en-GB"/>
        </w:rPr>
        <w:t xml:space="preserve">M.V., M.Đ. and D.S </w:t>
      </w:r>
      <w:r w:rsidR="003710CF" w:rsidRPr="001C21DC">
        <w:rPr>
          <w:bCs/>
          <w:iCs/>
          <w:lang w:val="en-GB"/>
        </w:rPr>
        <w:t>were imprisoned in a house beside the “KLA Police Station”, in t</w:t>
      </w:r>
      <w:r w:rsidR="00E6570B" w:rsidRPr="001C21DC">
        <w:rPr>
          <w:bCs/>
          <w:iCs/>
          <w:lang w:val="en-GB"/>
        </w:rPr>
        <w:t>he so-</w:t>
      </w:r>
      <w:r w:rsidR="003710CF" w:rsidRPr="001C21DC">
        <w:rPr>
          <w:bCs/>
          <w:iCs/>
          <w:lang w:val="en-GB"/>
        </w:rPr>
        <w:t xml:space="preserve">called “Gipsy area” on the road </w:t>
      </w:r>
      <w:r w:rsidR="003710CF" w:rsidRPr="001C21DC">
        <w:rPr>
          <w:lang w:val="en-GB"/>
        </w:rPr>
        <w:t>Lipjan/Lipljan</w:t>
      </w:r>
      <w:r w:rsidR="00210E95" w:rsidRPr="001C21DC">
        <w:rPr>
          <w:lang w:val="en-GB"/>
        </w:rPr>
        <w:t xml:space="preserve"> </w:t>
      </w:r>
      <w:r w:rsidR="003710CF" w:rsidRPr="001C21DC">
        <w:rPr>
          <w:lang w:val="en-GB"/>
        </w:rPr>
        <w:t xml:space="preserve">- Rubovc/Rabovce. Upon their request, the sister of one of the kidnapped went with the KFOR soldiers to show them the exact location of the alleged prison. She was then taken back to the police station, while the KFOR soldiers and the witness </w:t>
      </w:r>
      <w:r w:rsidR="003F1253" w:rsidRPr="001C21DC">
        <w:rPr>
          <w:lang w:val="en-GB"/>
        </w:rPr>
        <w:t xml:space="preserve">went </w:t>
      </w:r>
      <w:r w:rsidR="004927F2" w:rsidRPr="001C21DC">
        <w:rPr>
          <w:lang w:val="en-GB"/>
        </w:rPr>
        <w:t>in a convoy of six or s</w:t>
      </w:r>
      <w:r w:rsidR="003F1253" w:rsidRPr="001C21DC">
        <w:rPr>
          <w:lang w:val="en-GB"/>
        </w:rPr>
        <w:t>even vehicles to the</w:t>
      </w:r>
      <w:r w:rsidR="003C7511" w:rsidRPr="001C21DC">
        <w:rPr>
          <w:lang w:val="en-GB"/>
        </w:rPr>
        <w:t xml:space="preserve"> alleged</w:t>
      </w:r>
      <w:r w:rsidR="003F1253" w:rsidRPr="001C21DC">
        <w:rPr>
          <w:lang w:val="en-GB"/>
        </w:rPr>
        <w:t xml:space="preserve"> “house-prison”. The soldiers broke into the house </w:t>
      </w:r>
      <w:r w:rsidR="004927F2" w:rsidRPr="001C21DC">
        <w:rPr>
          <w:lang w:val="en-GB"/>
        </w:rPr>
        <w:t xml:space="preserve">and found cigarettes </w:t>
      </w:r>
      <w:r w:rsidR="003C7511" w:rsidRPr="001C21DC">
        <w:rPr>
          <w:lang w:val="en-GB"/>
        </w:rPr>
        <w:t>still burning in the ashtray as well as</w:t>
      </w:r>
      <w:r w:rsidR="004927F2" w:rsidRPr="001C21DC">
        <w:rPr>
          <w:lang w:val="en-GB"/>
        </w:rPr>
        <w:t xml:space="preserve"> some straw sacks</w:t>
      </w:r>
      <w:r w:rsidR="00210E95" w:rsidRPr="001C21DC">
        <w:rPr>
          <w:lang w:val="en-GB"/>
        </w:rPr>
        <w:t>, where probably three or four persons had been sleeping. The KFOR soldiers realised they had arrived too late and, after bringing the witness back to the police station, continued their search in houses and fields nearby for at least two hours, with no result</w:t>
      </w:r>
      <w:r w:rsidR="003C7511" w:rsidRPr="001C21DC">
        <w:rPr>
          <w:lang w:val="en-GB"/>
        </w:rPr>
        <w:t>s</w:t>
      </w:r>
      <w:r w:rsidR="00210E95" w:rsidRPr="001C21DC">
        <w:rPr>
          <w:lang w:val="en-GB"/>
        </w:rPr>
        <w:t>. The</w:t>
      </w:r>
      <w:r w:rsidR="00901CE9" w:rsidRPr="001C21DC">
        <w:rPr>
          <w:lang w:val="en-GB"/>
        </w:rPr>
        <w:t xml:space="preserve"> witness stated that a</w:t>
      </w:r>
      <w:r w:rsidR="00210E95" w:rsidRPr="001C21DC">
        <w:rPr>
          <w:lang w:val="en-GB"/>
        </w:rPr>
        <w:t xml:space="preserve"> sergeant told him that they had searche</w:t>
      </w:r>
      <w:r w:rsidR="00E6570B" w:rsidRPr="001C21DC">
        <w:rPr>
          <w:lang w:val="en-GB"/>
        </w:rPr>
        <w:t>d all houses in the surrounding area</w:t>
      </w:r>
      <w:r w:rsidR="00210E95" w:rsidRPr="001C21DC">
        <w:rPr>
          <w:lang w:val="en-GB"/>
        </w:rPr>
        <w:t xml:space="preserve"> except for the building used as “KLA Police Station”. The sergeant thought the prisoners</w:t>
      </w:r>
      <w:r w:rsidR="00901CE9" w:rsidRPr="001C21DC">
        <w:rPr>
          <w:lang w:val="en-GB"/>
        </w:rPr>
        <w:t xml:space="preserve"> were being kept there; however, </w:t>
      </w:r>
      <w:r w:rsidR="00210E95" w:rsidRPr="001C21DC">
        <w:rPr>
          <w:lang w:val="en-GB"/>
        </w:rPr>
        <w:t>they were not allowed to search that building. The witness fur</w:t>
      </w:r>
      <w:r w:rsidR="00E6570B" w:rsidRPr="001C21DC">
        <w:rPr>
          <w:lang w:val="en-GB"/>
        </w:rPr>
        <w:t xml:space="preserve">ther stated that </w:t>
      </w:r>
      <w:r w:rsidR="00210E95" w:rsidRPr="001C21DC">
        <w:rPr>
          <w:lang w:val="en-GB"/>
        </w:rPr>
        <w:t>two days before the kidnapping, “by mistake”, he had been taken by KFOR soldiers to “that KLA Police Station” and</w:t>
      </w:r>
      <w:r w:rsidR="003C7511" w:rsidRPr="001C21DC">
        <w:rPr>
          <w:lang w:val="en-GB"/>
        </w:rPr>
        <w:t xml:space="preserve"> that he was ready to name the</w:t>
      </w:r>
      <w:r w:rsidR="00210E95" w:rsidRPr="001C21DC">
        <w:rPr>
          <w:lang w:val="en-GB"/>
        </w:rPr>
        <w:t xml:space="preserve"> persons he had seen there, who, at the time of the statement, were mostly working as “KPS officers”. The witness also stated that he had subsequently heard that the three missing persons had been executed and buried near the “KLA Police Station’ in Lipjan/Lipljan. However, this info</w:t>
      </w:r>
      <w:r w:rsidR="003C7511" w:rsidRPr="001C21DC">
        <w:rPr>
          <w:lang w:val="en-GB"/>
        </w:rPr>
        <w:t>rmation was based on rumours that he could not confirm</w:t>
      </w:r>
      <w:r w:rsidR="00210E95" w:rsidRPr="001C21DC">
        <w:rPr>
          <w:lang w:val="en-GB"/>
        </w:rPr>
        <w:t xml:space="preserve">. </w:t>
      </w:r>
      <w:r w:rsidR="009145FD" w:rsidRPr="001C21DC">
        <w:rPr>
          <w:lang w:val="en-GB"/>
        </w:rPr>
        <w:t xml:space="preserve"> </w:t>
      </w:r>
    </w:p>
    <w:p w:rsidR="009145FD" w:rsidRPr="001C21DC" w:rsidRDefault="009145FD" w:rsidP="009145FD">
      <w:pPr>
        <w:contextualSpacing/>
        <w:jc w:val="both"/>
        <w:rPr>
          <w:lang w:val="en-GB"/>
        </w:rPr>
      </w:pPr>
    </w:p>
    <w:p w:rsidR="009145FD" w:rsidRPr="001C21DC" w:rsidRDefault="007C2D8F" w:rsidP="002E15BB">
      <w:pPr>
        <w:pStyle w:val="ListParagraph"/>
        <w:numPr>
          <w:ilvl w:val="0"/>
          <w:numId w:val="2"/>
        </w:numPr>
        <w:suppressAutoHyphens w:val="0"/>
        <w:contextualSpacing/>
        <w:jc w:val="both"/>
        <w:rPr>
          <w:lang w:val="en-GB"/>
        </w:rPr>
      </w:pPr>
      <w:r w:rsidRPr="001C21DC">
        <w:rPr>
          <w:lang w:val="en-GB"/>
        </w:rPr>
        <w:t>Included in the file are OMPF documents, including</w:t>
      </w:r>
      <w:r w:rsidR="00E6570B" w:rsidRPr="001C21DC">
        <w:rPr>
          <w:lang w:val="en-GB"/>
        </w:rPr>
        <w:t xml:space="preserve"> an</w:t>
      </w:r>
      <w:r w:rsidRPr="001C21DC">
        <w:rPr>
          <w:lang w:val="en-GB"/>
        </w:rPr>
        <w:t xml:space="preserve"> identification certificate and </w:t>
      </w:r>
      <w:r w:rsidR="008E7019" w:rsidRPr="001C21DC">
        <w:rPr>
          <w:lang w:val="en-GB"/>
        </w:rPr>
        <w:t xml:space="preserve">a </w:t>
      </w:r>
      <w:r w:rsidRPr="001C21DC">
        <w:rPr>
          <w:lang w:val="en-GB"/>
        </w:rPr>
        <w:t>confirmation of identity certificate, statin</w:t>
      </w:r>
      <w:r w:rsidR="00E6570B" w:rsidRPr="001C21DC">
        <w:rPr>
          <w:lang w:val="en-GB"/>
        </w:rPr>
        <w:t xml:space="preserve">g that the mortal remains of </w:t>
      </w:r>
      <w:r w:rsidRPr="001C21DC">
        <w:rPr>
          <w:lang w:val="en-GB"/>
        </w:rPr>
        <w:t>D.S. (</w:t>
      </w:r>
      <w:r w:rsidR="00955FDE" w:rsidRPr="001C21DC">
        <w:rPr>
          <w:lang w:val="en-GB"/>
        </w:rPr>
        <w:t xml:space="preserve">MPU case no. 1999/00107 and </w:t>
      </w:r>
      <w:r w:rsidR="00E6570B" w:rsidRPr="001C21DC">
        <w:rPr>
          <w:lang w:val="en-GB"/>
        </w:rPr>
        <w:t>ICTY no.</w:t>
      </w:r>
      <w:r w:rsidRPr="001C21DC">
        <w:rPr>
          <w:lang w:val="en-GB"/>
        </w:rPr>
        <w:t xml:space="preserve"> YKA 60/008BP) had been discover</w:t>
      </w:r>
      <w:r w:rsidR="00901CE9" w:rsidRPr="001C21DC">
        <w:rPr>
          <w:lang w:val="en-GB"/>
        </w:rPr>
        <w:t>ed on 16 June 1999 in the “Dragodan”</w:t>
      </w:r>
      <w:r w:rsidRPr="001C21DC">
        <w:rPr>
          <w:lang w:val="en-GB"/>
        </w:rPr>
        <w:t xml:space="preserve"> cemetery of Prishtinë/Priština and identified on 22 October 2004 </w:t>
      </w:r>
      <w:r w:rsidR="00901CE9" w:rsidRPr="001C21DC">
        <w:rPr>
          <w:lang w:val="en-GB"/>
        </w:rPr>
        <w:t xml:space="preserve">through DNA analysis. </w:t>
      </w:r>
      <w:r w:rsidR="00F9029F" w:rsidRPr="001C21DC">
        <w:rPr>
          <w:lang w:val="en-GB"/>
        </w:rPr>
        <w:t xml:space="preserve">On 8 November 2004, D.S.’s mortal remains were handed over to his family. </w:t>
      </w:r>
      <w:r w:rsidRPr="001C21DC">
        <w:rPr>
          <w:lang w:val="en-GB"/>
        </w:rPr>
        <w:t xml:space="preserve"> </w:t>
      </w:r>
    </w:p>
    <w:p w:rsidR="00F9029F" w:rsidRPr="001C21DC" w:rsidRDefault="00F9029F" w:rsidP="00F9029F">
      <w:pPr>
        <w:pStyle w:val="ListParagraph"/>
        <w:rPr>
          <w:lang w:val="en-GB"/>
        </w:rPr>
      </w:pPr>
    </w:p>
    <w:p w:rsidR="0015275F" w:rsidRPr="001C21DC" w:rsidRDefault="001656DC" w:rsidP="0031462D">
      <w:pPr>
        <w:contextualSpacing/>
        <w:jc w:val="both"/>
        <w:rPr>
          <w:i/>
          <w:lang w:val="en-GB"/>
        </w:rPr>
      </w:pPr>
      <w:r w:rsidRPr="001C21DC">
        <w:rPr>
          <w:i/>
          <w:lang w:val="en-GB"/>
        </w:rPr>
        <w:t>WCIU Cases</w:t>
      </w:r>
      <w:r w:rsidR="00955FDE" w:rsidRPr="001C21DC">
        <w:rPr>
          <w:i/>
          <w:lang w:val="en-GB"/>
        </w:rPr>
        <w:t xml:space="preserve"> no. 2000-</w:t>
      </w:r>
      <w:r w:rsidR="00B7085D" w:rsidRPr="001C21DC">
        <w:rPr>
          <w:i/>
          <w:lang w:val="en-GB"/>
        </w:rPr>
        <w:t>00</w:t>
      </w:r>
      <w:r w:rsidRPr="001C21DC">
        <w:rPr>
          <w:i/>
          <w:lang w:val="en-GB"/>
        </w:rPr>
        <w:t>123 and 2005-00076</w:t>
      </w:r>
      <w:r w:rsidR="00955FDE" w:rsidRPr="001C21DC">
        <w:rPr>
          <w:i/>
          <w:lang w:val="en-GB"/>
        </w:rPr>
        <w:t xml:space="preserve"> (</w:t>
      </w:r>
      <w:r w:rsidR="00D836DE" w:rsidRPr="001C21DC">
        <w:rPr>
          <w:i/>
          <w:lang w:val="en-GB"/>
        </w:rPr>
        <w:t xml:space="preserve">October </w:t>
      </w:r>
      <w:r w:rsidR="00955FDE" w:rsidRPr="001C21DC">
        <w:rPr>
          <w:i/>
          <w:lang w:val="en-GB"/>
        </w:rPr>
        <w:t>2007)</w:t>
      </w:r>
    </w:p>
    <w:p w:rsidR="00C0731E" w:rsidRPr="001C21DC" w:rsidRDefault="00C0731E" w:rsidP="00C0731E">
      <w:pPr>
        <w:jc w:val="both"/>
        <w:rPr>
          <w:lang w:val="en-GB"/>
        </w:rPr>
      </w:pPr>
    </w:p>
    <w:p w:rsidR="00CF20F5" w:rsidRPr="001C21DC" w:rsidRDefault="00643478" w:rsidP="003D37E0">
      <w:pPr>
        <w:pStyle w:val="ListParagraph"/>
        <w:numPr>
          <w:ilvl w:val="0"/>
          <w:numId w:val="2"/>
        </w:numPr>
        <w:suppressAutoHyphens w:val="0"/>
        <w:contextualSpacing/>
        <w:jc w:val="both"/>
        <w:rPr>
          <w:lang w:val="en-GB"/>
        </w:rPr>
      </w:pPr>
      <w:bookmarkStart w:id="12" w:name="_Ref366074434"/>
      <w:r w:rsidRPr="001C21DC">
        <w:rPr>
          <w:lang w:val="en-GB"/>
        </w:rPr>
        <w:t xml:space="preserve">The investigative file also contains documents of the UNMIK WCIU </w:t>
      </w:r>
      <w:r w:rsidR="00B7085D" w:rsidRPr="001C21DC">
        <w:rPr>
          <w:lang w:val="en-GB"/>
        </w:rPr>
        <w:t>concerning the case</w:t>
      </w:r>
      <w:r w:rsidR="00E6570B" w:rsidRPr="001C21DC">
        <w:rPr>
          <w:lang w:val="en-GB"/>
        </w:rPr>
        <w:t>s</w:t>
      </w:r>
      <w:r w:rsidR="00B7085D" w:rsidRPr="001C21DC">
        <w:rPr>
          <w:lang w:val="en-GB"/>
        </w:rPr>
        <w:t xml:space="preserve"> of </w:t>
      </w:r>
      <w:r w:rsidR="00E6570B" w:rsidRPr="001C21DC">
        <w:rPr>
          <w:lang w:val="en-GB"/>
        </w:rPr>
        <w:t xml:space="preserve">M.V., M.Đ. </w:t>
      </w:r>
      <w:r w:rsidR="00E6570B" w:rsidRPr="001C21DC">
        <w:rPr>
          <w:bCs/>
          <w:iCs/>
          <w:lang w:val="en-GB"/>
        </w:rPr>
        <w:t>and D.S.</w:t>
      </w:r>
      <w:r w:rsidR="00E6570B" w:rsidRPr="001C21DC">
        <w:rPr>
          <w:lang w:val="en-GB"/>
        </w:rPr>
        <w:t>, registered as WCIU case</w:t>
      </w:r>
      <w:r w:rsidR="00B7085D" w:rsidRPr="001C21DC">
        <w:rPr>
          <w:lang w:val="en-GB"/>
        </w:rPr>
        <w:t xml:space="preserve"> no. 2000-00123, </w:t>
      </w:r>
      <w:r w:rsidR="00CF20F5" w:rsidRPr="001C21DC">
        <w:rPr>
          <w:lang w:val="en-GB"/>
        </w:rPr>
        <w:t xml:space="preserve">as well as </w:t>
      </w:r>
      <w:r w:rsidR="003C7511" w:rsidRPr="001C21DC">
        <w:rPr>
          <w:lang w:val="en-GB"/>
        </w:rPr>
        <w:t xml:space="preserve">case no. 2005-00076. </w:t>
      </w:r>
    </w:p>
    <w:p w:rsidR="004E218B" w:rsidRPr="001C21DC" w:rsidRDefault="004E218B" w:rsidP="004E218B">
      <w:pPr>
        <w:pStyle w:val="ListParagraph"/>
        <w:suppressAutoHyphens w:val="0"/>
        <w:ind w:left="360"/>
        <w:contextualSpacing/>
        <w:jc w:val="both"/>
        <w:rPr>
          <w:lang w:val="en-GB"/>
        </w:rPr>
      </w:pPr>
    </w:p>
    <w:p w:rsidR="004E218B" w:rsidRPr="001C21DC" w:rsidRDefault="004E218B" w:rsidP="004E218B">
      <w:pPr>
        <w:pStyle w:val="ListParagraph"/>
        <w:numPr>
          <w:ilvl w:val="0"/>
          <w:numId w:val="2"/>
        </w:numPr>
        <w:suppressAutoHyphens w:val="0"/>
        <w:contextualSpacing/>
        <w:jc w:val="both"/>
        <w:rPr>
          <w:lang w:val="en-GB"/>
        </w:rPr>
      </w:pPr>
      <w:bookmarkStart w:id="13" w:name="_Ref391029872"/>
      <w:r w:rsidRPr="001C21DC">
        <w:rPr>
          <w:lang w:val="en-GB"/>
        </w:rPr>
        <w:t>The file contains a printout of the WCIU database generate</w:t>
      </w:r>
      <w:r w:rsidR="008D5AE3" w:rsidRPr="001C21DC">
        <w:rPr>
          <w:lang w:val="en-GB"/>
        </w:rPr>
        <w:t xml:space="preserve">d on 2 October 2007 with a </w:t>
      </w:r>
      <w:r w:rsidRPr="001C21DC">
        <w:rPr>
          <w:lang w:val="en-GB"/>
        </w:rPr>
        <w:t xml:space="preserve">Case Report concerning specifically the </w:t>
      </w:r>
      <w:r w:rsidR="0019795E" w:rsidRPr="001C21DC">
        <w:rPr>
          <w:lang w:val="en-GB"/>
        </w:rPr>
        <w:t>abduction</w:t>
      </w:r>
      <w:r w:rsidR="00E6570B" w:rsidRPr="001C21DC">
        <w:rPr>
          <w:lang w:val="en-GB"/>
        </w:rPr>
        <w:t xml:space="preserve"> of </w:t>
      </w:r>
      <w:r w:rsidRPr="001C21DC">
        <w:rPr>
          <w:lang w:val="en-GB"/>
        </w:rPr>
        <w:t>D.S., registered under case file no. 2005-00076. In the field “Summary”, the report states tha</w:t>
      </w:r>
      <w:r w:rsidR="00E6570B" w:rsidRPr="001C21DC">
        <w:rPr>
          <w:lang w:val="en-GB"/>
        </w:rPr>
        <w:t>t the victim was driving his re</w:t>
      </w:r>
      <w:r w:rsidRPr="001C21DC">
        <w:rPr>
          <w:lang w:val="en-GB"/>
        </w:rPr>
        <w:t>d “Zastava Jugo Koral”, with registration plate PR 607-55</w:t>
      </w:r>
      <w:r w:rsidR="00E6570B" w:rsidRPr="001C21DC">
        <w:rPr>
          <w:lang w:val="en-GB"/>
        </w:rPr>
        <w:t>,</w:t>
      </w:r>
      <w:r w:rsidRPr="001C21DC">
        <w:rPr>
          <w:lang w:val="en-GB"/>
        </w:rPr>
        <w:t xml:space="preserve"> on his way fro</w:t>
      </w:r>
      <w:r w:rsidR="00E6570B" w:rsidRPr="001C21DC">
        <w:rPr>
          <w:lang w:val="en-GB"/>
        </w:rPr>
        <w:t>m work</w:t>
      </w:r>
      <w:r w:rsidRPr="001C21DC">
        <w:rPr>
          <w:lang w:val="en-GB"/>
        </w:rPr>
        <w:t>, when he was stopped by an armed group wearing KLA insignia. He was abducted and taken in an unknown direction. The report also states that the case</w:t>
      </w:r>
      <w:r w:rsidR="008E19EC" w:rsidRPr="001C21DC">
        <w:rPr>
          <w:lang w:val="en-GB"/>
        </w:rPr>
        <w:t xml:space="preserve"> was</w:t>
      </w:r>
      <w:r w:rsidRPr="001C21DC">
        <w:rPr>
          <w:lang w:val="en-GB"/>
        </w:rPr>
        <w:t xml:space="preserve"> </w:t>
      </w:r>
      <w:r w:rsidR="008E19EC" w:rsidRPr="001C21DC">
        <w:rPr>
          <w:lang w:val="en-GB"/>
        </w:rPr>
        <w:t xml:space="preserve">related to case file no. 2000-00123 and that it </w:t>
      </w:r>
      <w:r w:rsidRPr="001C21DC">
        <w:rPr>
          <w:lang w:val="en-GB"/>
        </w:rPr>
        <w:t xml:space="preserve">had been opened following the </w:t>
      </w:r>
      <w:r w:rsidR="00434717" w:rsidRPr="001C21DC">
        <w:rPr>
          <w:lang w:val="en-GB"/>
        </w:rPr>
        <w:t xml:space="preserve">filing of a criminal complaint </w:t>
      </w:r>
      <w:r w:rsidRPr="001C21DC">
        <w:rPr>
          <w:lang w:val="en-GB"/>
        </w:rPr>
        <w:t>by D.S.’</w:t>
      </w:r>
      <w:r w:rsidR="00434717" w:rsidRPr="001C21DC">
        <w:rPr>
          <w:lang w:val="en-GB"/>
        </w:rPr>
        <w:t>s</w:t>
      </w:r>
      <w:r w:rsidR="00901CE9" w:rsidRPr="001C21DC">
        <w:rPr>
          <w:lang w:val="en-GB"/>
        </w:rPr>
        <w:t xml:space="preserve"> brother</w:t>
      </w:r>
      <w:r w:rsidRPr="001C21DC">
        <w:rPr>
          <w:lang w:val="en-GB"/>
        </w:rPr>
        <w:t>.</w:t>
      </w:r>
      <w:r w:rsidR="00434717" w:rsidRPr="001C21DC">
        <w:rPr>
          <w:lang w:val="en-GB"/>
        </w:rPr>
        <w:t xml:space="preserve"> It is stated in the criminal report, also included in the file, that the abduction had been reported on the same day to the KFOR and that the injured party “was not given any opportunity to get any information regarding steps and measures taken aimed at finding the abducted person or the perpetrators”.</w:t>
      </w:r>
      <w:r w:rsidRPr="001C21DC">
        <w:rPr>
          <w:lang w:val="en-GB"/>
        </w:rPr>
        <w:t xml:space="preserve"> </w:t>
      </w:r>
      <w:r w:rsidR="00434717" w:rsidRPr="001C21DC">
        <w:rPr>
          <w:lang w:val="en-GB"/>
        </w:rPr>
        <w:t>A related</w:t>
      </w:r>
      <w:r w:rsidRPr="001C21DC">
        <w:rPr>
          <w:lang w:val="en-GB"/>
        </w:rPr>
        <w:t xml:space="preserve"> Case Analysis Report of the WCIU, dated 4 October 2007, in the field “Investigat</w:t>
      </w:r>
      <w:r w:rsidR="00E6570B" w:rsidRPr="001C21DC">
        <w:rPr>
          <w:lang w:val="en-GB"/>
        </w:rPr>
        <w:t xml:space="preserve">or Recommendation/Opinion”, </w:t>
      </w:r>
      <w:r w:rsidRPr="001C21DC">
        <w:rPr>
          <w:lang w:val="en-GB"/>
        </w:rPr>
        <w:t>states “the case is reported as a criminal offence of abduction. However, there is a lack of information concerning the case. There are no witnesses, no evidence, no element in order to identify the perpetrators, even the exact location of the event is unknown. More further information are needed to conduct the investigation in a good way”.</w:t>
      </w:r>
      <w:bookmarkEnd w:id="13"/>
      <w:r w:rsidRPr="001C21DC">
        <w:rPr>
          <w:lang w:val="en-GB"/>
        </w:rPr>
        <w:t xml:space="preserve"> </w:t>
      </w:r>
    </w:p>
    <w:p w:rsidR="00CF20F5" w:rsidRPr="001C21DC" w:rsidRDefault="00CF20F5" w:rsidP="00CF20F5">
      <w:pPr>
        <w:pStyle w:val="ListParagraph"/>
        <w:suppressAutoHyphens w:val="0"/>
        <w:ind w:left="360"/>
        <w:contextualSpacing/>
        <w:jc w:val="both"/>
        <w:rPr>
          <w:lang w:val="en-GB"/>
        </w:rPr>
      </w:pPr>
    </w:p>
    <w:p w:rsidR="00955FDE" w:rsidRPr="001C21DC" w:rsidRDefault="00B7085D" w:rsidP="003D37E0">
      <w:pPr>
        <w:pStyle w:val="ListParagraph"/>
        <w:numPr>
          <w:ilvl w:val="0"/>
          <w:numId w:val="2"/>
        </w:numPr>
        <w:suppressAutoHyphens w:val="0"/>
        <w:contextualSpacing/>
        <w:jc w:val="both"/>
        <w:rPr>
          <w:lang w:val="en-GB"/>
        </w:rPr>
      </w:pPr>
      <w:r w:rsidRPr="001C21DC">
        <w:rPr>
          <w:lang w:val="en-GB"/>
        </w:rPr>
        <w:t xml:space="preserve"> </w:t>
      </w:r>
      <w:r w:rsidR="00CF20F5" w:rsidRPr="001C21DC">
        <w:rPr>
          <w:lang w:val="en-GB"/>
        </w:rPr>
        <w:t xml:space="preserve">The file </w:t>
      </w:r>
      <w:r w:rsidR="004E218B" w:rsidRPr="001C21DC">
        <w:rPr>
          <w:lang w:val="en-GB"/>
        </w:rPr>
        <w:t xml:space="preserve">also </w:t>
      </w:r>
      <w:r w:rsidR="00CF20F5" w:rsidRPr="001C21DC">
        <w:rPr>
          <w:lang w:val="en-GB"/>
        </w:rPr>
        <w:t>contains a printout of the WCIU database</w:t>
      </w:r>
      <w:r w:rsidR="00E6570B" w:rsidRPr="001C21DC">
        <w:rPr>
          <w:lang w:val="en-GB"/>
        </w:rPr>
        <w:t>,</w:t>
      </w:r>
      <w:r w:rsidR="00CF20F5" w:rsidRPr="001C21DC">
        <w:rPr>
          <w:lang w:val="en-GB"/>
        </w:rPr>
        <w:t xml:space="preserve"> generated on 22 October 2007</w:t>
      </w:r>
      <w:r w:rsidR="00E6570B" w:rsidRPr="001C21DC">
        <w:rPr>
          <w:lang w:val="en-GB"/>
        </w:rPr>
        <w:t xml:space="preserve">, </w:t>
      </w:r>
      <w:r w:rsidR="008D5AE3" w:rsidRPr="001C21DC">
        <w:rPr>
          <w:lang w:val="en-GB"/>
        </w:rPr>
        <w:t xml:space="preserve">with a </w:t>
      </w:r>
      <w:r w:rsidR="001656DC" w:rsidRPr="001C21DC">
        <w:rPr>
          <w:lang w:val="en-GB"/>
        </w:rPr>
        <w:t>Case R</w:t>
      </w:r>
      <w:r w:rsidR="00CF20F5" w:rsidRPr="001C21DC">
        <w:rPr>
          <w:lang w:val="en-GB"/>
        </w:rPr>
        <w:t xml:space="preserve">eport </w:t>
      </w:r>
      <w:r w:rsidR="008D5AE3" w:rsidRPr="001C21DC">
        <w:rPr>
          <w:lang w:val="en-GB"/>
        </w:rPr>
        <w:t xml:space="preserve">this time </w:t>
      </w:r>
      <w:r w:rsidR="00CF20F5" w:rsidRPr="001C21DC">
        <w:rPr>
          <w:lang w:val="en-GB"/>
        </w:rPr>
        <w:t>relating to case file no. 2000-00123 cross-referenced with MPU file no. 1999-00107. In the field “Investigator”, the report states “missing files”, while under the field “Summary” the report states “MPU requested information about the missing person. No entries in the CCIU database on date</w:t>
      </w:r>
      <w:r w:rsidR="001656DC" w:rsidRPr="001C21DC">
        <w:rPr>
          <w:lang w:val="en-GB"/>
        </w:rPr>
        <w:t>. New input on 21/02/06, refere</w:t>
      </w:r>
      <w:r w:rsidR="00E6570B" w:rsidRPr="001C21DC">
        <w:rPr>
          <w:lang w:val="en-GB"/>
        </w:rPr>
        <w:t xml:space="preserve">nce to Ante-mortem 0348/INV/04”. It </w:t>
      </w:r>
      <w:r w:rsidR="008E7019" w:rsidRPr="001C21DC">
        <w:rPr>
          <w:lang w:val="en-GB"/>
        </w:rPr>
        <w:t>f</w:t>
      </w:r>
      <w:r w:rsidR="001656DC" w:rsidRPr="001C21DC">
        <w:rPr>
          <w:lang w:val="en-GB"/>
        </w:rPr>
        <w:t xml:space="preserve">urther provides a summary of the circumstances surrounding the </w:t>
      </w:r>
      <w:r w:rsidR="0019795E" w:rsidRPr="001C21DC">
        <w:rPr>
          <w:lang w:val="en-GB"/>
        </w:rPr>
        <w:t>abduction</w:t>
      </w:r>
      <w:r w:rsidR="001656DC" w:rsidRPr="001C21DC">
        <w:rPr>
          <w:lang w:val="en-GB"/>
        </w:rPr>
        <w:t xml:space="preserve"> of </w:t>
      </w:r>
      <w:r w:rsidR="00E6570B" w:rsidRPr="001C21DC">
        <w:rPr>
          <w:lang w:val="en-GB"/>
        </w:rPr>
        <w:t xml:space="preserve">M.V., M.Đ. </w:t>
      </w:r>
      <w:r w:rsidR="00E6570B" w:rsidRPr="001C21DC">
        <w:rPr>
          <w:bCs/>
          <w:iCs/>
          <w:lang w:val="en-GB"/>
        </w:rPr>
        <w:t>and D.S</w:t>
      </w:r>
      <w:r w:rsidR="001656DC" w:rsidRPr="001C21DC">
        <w:rPr>
          <w:bCs/>
          <w:iCs/>
          <w:lang w:val="en-GB"/>
        </w:rPr>
        <w:t>.</w:t>
      </w:r>
      <w:r w:rsidR="001656DC" w:rsidRPr="001C21DC">
        <w:rPr>
          <w:lang w:val="en-GB"/>
        </w:rPr>
        <w:t xml:space="preserve">, as known from the MPU file. </w:t>
      </w:r>
    </w:p>
    <w:p w:rsidR="00D836DE" w:rsidRPr="001C21DC" w:rsidRDefault="00D836DE" w:rsidP="00D836DE">
      <w:pPr>
        <w:pStyle w:val="ListParagraph"/>
        <w:rPr>
          <w:lang w:val="en-GB"/>
        </w:rPr>
      </w:pPr>
    </w:p>
    <w:p w:rsidR="00D836DE" w:rsidRPr="001C21DC" w:rsidRDefault="00D836DE" w:rsidP="008E7019">
      <w:pPr>
        <w:pStyle w:val="ListParagraph"/>
        <w:numPr>
          <w:ilvl w:val="0"/>
          <w:numId w:val="2"/>
        </w:numPr>
        <w:suppressAutoHyphens w:val="0"/>
        <w:contextualSpacing/>
        <w:jc w:val="both"/>
        <w:rPr>
          <w:lang w:val="en-GB"/>
        </w:rPr>
      </w:pPr>
      <w:r w:rsidRPr="001C21DC">
        <w:rPr>
          <w:lang w:val="en-GB"/>
        </w:rPr>
        <w:t xml:space="preserve">On 18 July 2009, a prosecutor of the EULEX </w:t>
      </w:r>
      <w:r w:rsidR="008E7019" w:rsidRPr="001C21DC">
        <w:rPr>
          <w:lang w:val="en-GB"/>
        </w:rPr>
        <w:t xml:space="preserve">Kosovo Special Prosecution Office (SPRK) </w:t>
      </w:r>
      <w:r w:rsidRPr="001C21DC">
        <w:rPr>
          <w:lang w:val="en-GB"/>
        </w:rPr>
        <w:t>issued a request to conduct further investigation with respect to</w:t>
      </w:r>
      <w:r w:rsidR="00626D00" w:rsidRPr="001C21DC">
        <w:rPr>
          <w:lang w:val="en-GB"/>
        </w:rPr>
        <w:t xml:space="preserve"> the</w:t>
      </w:r>
      <w:r w:rsidRPr="001C21DC">
        <w:rPr>
          <w:lang w:val="en-GB"/>
        </w:rPr>
        <w:t xml:space="preserve"> UNMIK Police case no. 2000-00123,  concerning the alleged abduction of </w:t>
      </w:r>
      <w:r w:rsidR="00626D00" w:rsidRPr="001C21DC">
        <w:rPr>
          <w:lang w:val="en-GB"/>
        </w:rPr>
        <w:t xml:space="preserve">M.V., M.Đ. </w:t>
      </w:r>
      <w:r w:rsidR="00626D00" w:rsidRPr="001C21DC">
        <w:rPr>
          <w:bCs/>
          <w:iCs/>
          <w:lang w:val="en-GB"/>
        </w:rPr>
        <w:t>and D.S</w:t>
      </w:r>
      <w:r w:rsidR="00626D00" w:rsidRPr="001C21DC">
        <w:rPr>
          <w:lang w:val="en-GB"/>
        </w:rPr>
        <w:t xml:space="preserve">. </w:t>
      </w:r>
      <w:r w:rsidR="00A51F84" w:rsidRPr="001C21DC">
        <w:rPr>
          <w:lang w:val="en-GB"/>
        </w:rPr>
        <w:t>The request states</w:t>
      </w:r>
      <w:r w:rsidRPr="001C21DC">
        <w:rPr>
          <w:lang w:val="en-GB"/>
        </w:rPr>
        <w:t xml:space="preserve"> that</w:t>
      </w:r>
      <w:r w:rsidR="00A51F84" w:rsidRPr="001C21DC">
        <w:rPr>
          <w:lang w:val="en-GB"/>
        </w:rPr>
        <w:t>,</w:t>
      </w:r>
      <w:r w:rsidRPr="001C21DC">
        <w:rPr>
          <w:lang w:val="en-GB"/>
        </w:rPr>
        <w:t xml:space="preserve"> according to informatio</w:t>
      </w:r>
      <w:r w:rsidR="00A51F84" w:rsidRPr="001C21DC">
        <w:rPr>
          <w:lang w:val="en-GB"/>
        </w:rPr>
        <w:t xml:space="preserve">n received from the ICRC in 2007, the latter was not listed any longer as missing, while </w:t>
      </w:r>
      <w:r w:rsidR="00626D00" w:rsidRPr="001C21DC">
        <w:rPr>
          <w:bCs/>
          <w:iCs/>
          <w:lang w:val="en-GB"/>
        </w:rPr>
        <w:t xml:space="preserve">M.V. and M.Đ. </w:t>
      </w:r>
      <w:r w:rsidR="00A51F84" w:rsidRPr="001C21DC">
        <w:rPr>
          <w:lang w:val="en-GB"/>
        </w:rPr>
        <w:t xml:space="preserve">were still missing. Also one witness statement had been obtained, revealing mainly “hearsay” evidence.  The request also noted that there were similarities between that case and the case recorded as 2005-00076. According to the prosecutor, the only difference between the two cases was a one year difference in the stated date of birth for D.S. so that it was “possible that the same incident has been investigated with two different case numbers”. </w:t>
      </w:r>
    </w:p>
    <w:p w:rsidR="00F41225" w:rsidRPr="001C21DC" w:rsidRDefault="00F41225" w:rsidP="00F41225">
      <w:pPr>
        <w:pStyle w:val="ListParagraph"/>
        <w:rPr>
          <w:lang w:val="en-GB"/>
        </w:rPr>
      </w:pPr>
    </w:p>
    <w:p w:rsidR="00F41225" w:rsidRPr="001C21DC" w:rsidRDefault="00F41225" w:rsidP="0031462D">
      <w:pPr>
        <w:contextualSpacing/>
        <w:jc w:val="both"/>
        <w:rPr>
          <w:i/>
          <w:lang w:val="en-GB"/>
        </w:rPr>
      </w:pPr>
      <w:r w:rsidRPr="001C21DC">
        <w:rPr>
          <w:i/>
          <w:lang w:val="en-GB"/>
        </w:rPr>
        <w:t>Identificat</w:t>
      </w:r>
      <w:r w:rsidR="00AD007D" w:rsidRPr="001C21DC">
        <w:rPr>
          <w:i/>
          <w:lang w:val="en-GB"/>
        </w:rPr>
        <w:t>ion of the mortal remains of M. Đ. and M.V.</w:t>
      </w:r>
      <w:r w:rsidRPr="001C21DC">
        <w:rPr>
          <w:bCs/>
          <w:i/>
          <w:iCs/>
          <w:lang w:val="en-GB"/>
        </w:rPr>
        <w:t xml:space="preserve"> (2007-2012)</w:t>
      </w:r>
    </w:p>
    <w:p w:rsidR="00D836DE" w:rsidRPr="001C21DC" w:rsidRDefault="00D836DE" w:rsidP="00D836DE">
      <w:pPr>
        <w:pStyle w:val="ListParagraph"/>
        <w:rPr>
          <w:lang w:val="en-GB"/>
        </w:rPr>
      </w:pPr>
    </w:p>
    <w:p w:rsidR="004A4B94" w:rsidRPr="001C21DC" w:rsidRDefault="00626D00" w:rsidP="00815867">
      <w:pPr>
        <w:pStyle w:val="ListParagraph"/>
        <w:numPr>
          <w:ilvl w:val="0"/>
          <w:numId w:val="2"/>
        </w:numPr>
        <w:suppressAutoHyphens w:val="0"/>
        <w:contextualSpacing/>
        <w:jc w:val="both"/>
        <w:rPr>
          <w:lang w:val="en-GB"/>
        </w:rPr>
      </w:pPr>
      <w:r w:rsidRPr="001C21DC">
        <w:rPr>
          <w:lang w:val="en-GB"/>
        </w:rPr>
        <w:t>With respect to M.Đ.</w:t>
      </w:r>
      <w:r w:rsidR="004A4B94" w:rsidRPr="001C21DC">
        <w:rPr>
          <w:lang w:val="en-GB"/>
        </w:rPr>
        <w:t>, the investigative fi</w:t>
      </w:r>
      <w:r w:rsidR="005513A0" w:rsidRPr="001C21DC">
        <w:rPr>
          <w:lang w:val="en-GB"/>
        </w:rPr>
        <w:t>le contains</w:t>
      </w:r>
      <w:r w:rsidR="004F750D" w:rsidRPr="001C21DC">
        <w:rPr>
          <w:lang w:val="en-GB"/>
        </w:rPr>
        <w:t xml:space="preserve"> </w:t>
      </w:r>
      <w:r w:rsidR="00EC1A18" w:rsidRPr="001C21DC">
        <w:rPr>
          <w:lang w:val="en-GB"/>
        </w:rPr>
        <w:t>a Comparison Table</w:t>
      </w:r>
      <w:r w:rsidR="00815867" w:rsidRPr="001C21DC">
        <w:rPr>
          <w:lang w:val="en-GB"/>
        </w:rPr>
        <w:t>, dated 28 September 2007,</w:t>
      </w:r>
      <w:r w:rsidR="008D5AE3" w:rsidRPr="001C21DC">
        <w:rPr>
          <w:lang w:val="en-GB"/>
        </w:rPr>
        <w:t xml:space="preserve"> comparing</w:t>
      </w:r>
      <w:r w:rsidR="004F750D" w:rsidRPr="001C21DC">
        <w:rPr>
          <w:lang w:val="en-GB"/>
        </w:rPr>
        <w:t xml:space="preserve"> the availabl</w:t>
      </w:r>
      <w:r w:rsidRPr="001C21DC">
        <w:rPr>
          <w:lang w:val="en-GB"/>
        </w:rPr>
        <w:t>e ante-mortem information on M.Đ.</w:t>
      </w:r>
      <w:r w:rsidR="004F750D" w:rsidRPr="001C21DC">
        <w:rPr>
          <w:lang w:val="en-GB"/>
        </w:rPr>
        <w:t xml:space="preserve"> wit</w:t>
      </w:r>
      <w:r w:rsidRPr="001C21DC">
        <w:rPr>
          <w:lang w:val="en-GB"/>
        </w:rPr>
        <w:t>h the post-mortem information on</w:t>
      </w:r>
      <w:r w:rsidR="004F750D" w:rsidRPr="001C21DC">
        <w:rPr>
          <w:lang w:val="en-GB"/>
        </w:rPr>
        <w:t xml:space="preserve"> three groups of mortal remains (marked as YKA60-007BP-1, YKA60-007BP-2 and YKA60-010BP9</w:t>
      </w:r>
      <w:r w:rsidR="008D5AE3" w:rsidRPr="001C21DC">
        <w:rPr>
          <w:lang w:val="en-GB"/>
        </w:rPr>
        <w:t>)</w:t>
      </w:r>
      <w:r w:rsidR="004F750D" w:rsidRPr="001C21DC">
        <w:rPr>
          <w:lang w:val="en-GB"/>
        </w:rPr>
        <w:t xml:space="preserve"> </w:t>
      </w:r>
      <w:r w:rsidR="00EC1A18" w:rsidRPr="001C21DC">
        <w:rPr>
          <w:lang w:val="en-GB"/>
        </w:rPr>
        <w:t xml:space="preserve">exhumed from the </w:t>
      </w:r>
      <w:r w:rsidR="008D5AE3" w:rsidRPr="001C21DC">
        <w:rPr>
          <w:lang w:val="en-GB"/>
        </w:rPr>
        <w:t>“</w:t>
      </w:r>
      <w:r w:rsidR="00EC1A18" w:rsidRPr="001C21DC">
        <w:rPr>
          <w:lang w:val="en-GB"/>
        </w:rPr>
        <w:t>Dragodan</w:t>
      </w:r>
      <w:r w:rsidR="008D5AE3" w:rsidRPr="001C21DC">
        <w:rPr>
          <w:lang w:val="en-GB"/>
        </w:rPr>
        <w:t>”</w:t>
      </w:r>
      <w:r w:rsidR="00EC1A18" w:rsidRPr="001C21DC">
        <w:rPr>
          <w:lang w:val="en-GB"/>
        </w:rPr>
        <w:t xml:space="preserve"> cemetery in Prishtinë/Priština in June 2003. </w:t>
      </w:r>
      <w:r w:rsidR="00815867" w:rsidRPr="001C21DC">
        <w:rPr>
          <w:lang w:val="en-GB"/>
        </w:rPr>
        <w:t xml:space="preserve"> The file also contains </w:t>
      </w:r>
      <w:r w:rsidR="005513A0" w:rsidRPr="001C21DC">
        <w:rPr>
          <w:lang w:val="en-GB"/>
        </w:rPr>
        <w:t>ICMP DNA Reports dated 12 September 2009, 22 February 2008 and 7 April 2010</w:t>
      </w:r>
      <w:r w:rsidRPr="001C21DC">
        <w:rPr>
          <w:lang w:val="en-GB"/>
        </w:rPr>
        <w:t xml:space="preserve"> respectively</w:t>
      </w:r>
      <w:r w:rsidR="005513A0" w:rsidRPr="001C21DC">
        <w:rPr>
          <w:lang w:val="en-GB"/>
        </w:rPr>
        <w:t xml:space="preserve">, </w:t>
      </w:r>
      <w:r w:rsidR="007B711B" w:rsidRPr="001C21DC">
        <w:rPr>
          <w:lang w:val="en-GB"/>
        </w:rPr>
        <w:t>confirming the DNA compatibility of blo</w:t>
      </w:r>
      <w:r w:rsidRPr="001C21DC">
        <w:rPr>
          <w:lang w:val="en-GB"/>
        </w:rPr>
        <w:t>od samples from M.Đ.</w:t>
      </w:r>
      <w:r w:rsidR="007B711B" w:rsidRPr="001C21DC">
        <w:rPr>
          <w:lang w:val="en-GB"/>
        </w:rPr>
        <w:t>’s family members and DNA samples from</w:t>
      </w:r>
      <w:r w:rsidR="00815867" w:rsidRPr="001C21DC">
        <w:rPr>
          <w:lang w:val="en-GB"/>
        </w:rPr>
        <w:t xml:space="preserve"> the three groups of mortal remains mentioned above</w:t>
      </w:r>
      <w:r w:rsidR="007B711B" w:rsidRPr="001C21DC">
        <w:rPr>
          <w:lang w:val="en-GB"/>
        </w:rPr>
        <w:t xml:space="preserve">. </w:t>
      </w:r>
    </w:p>
    <w:p w:rsidR="004A4B94" w:rsidRPr="001C21DC" w:rsidRDefault="004A4B94" w:rsidP="004A4B94">
      <w:pPr>
        <w:pStyle w:val="ListParagraph"/>
        <w:rPr>
          <w:lang w:val="en-GB"/>
        </w:rPr>
      </w:pPr>
    </w:p>
    <w:p w:rsidR="00D836DE" w:rsidRPr="001C21DC" w:rsidRDefault="0058416D" w:rsidP="003D37E0">
      <w:pPr>
        <w:pStyle w:val="ListParagraph"/>
        <w:numPr>
          <w:ilvl w:val="0"/>
          <w:numId w:val="2"/>
        </w:numPr>
        <w:suppressAutoHyphens w:val="0"/>
        <w:contextualSpacing/>
        <w:jc w:val="both"/>
        <w:rPr>
          <w:lang w:val="en-GB"/>
        </w:rPr>
      </w:pPr>
      <w:r w:rsidRPr="001C21DC">
        <w:rPr>
          <w:lang w:val="en-GB"/>
        </w:rPr>
        <w:t>On 7 June 2010, the</w:t>
      </w:r>
      <w:r w:rsidR="007B711B" w:rsidRPr="001C21DC">
        <w:rPr>
          <w:lang w:val="en-GB"/>
        </w:rPr>
        <w:t xml:space="preserve"> ICMP issued a Confirmation of Identity Cer</w:t>
      </w:r>
      <w:r w:rsidR="00901CE9" w:rsidRPr="001C21DC">
        <w:rPr>
          <w:lang w:val="en-GB"/>
        </w:rPr>
        <w:t xml:space="preserve">tificate, based on DNA analysis, </w:t>
      </w:r>
      <w:r w:rsidR="00626D00" w:rsidRPr="001C21DC">
        <w:rPr>
          <w:lang w:val="en-GB"/>
        </w:rPr>
        <w:t>for M.</w:t>
      </w:r>
      <w:r w:rsidR="002F6869" w:rsidRPr="001C21DC">
        <w:rPr>
          <w:lang w:val="en-GB"/>
        </w:rPr>
        <w:t xml:space="preserve">Đ. According to a death certificate issued by the EULEX OMPF, the death occurred at some time before 16 June 2003; however, its cause could not be ascertained. </w:t>
      </w:r>
      <w:r w:rsidR="004A4B94" w:rsidRPr="001C21DC">
        <w:rPr>
          <w:lang w:val="en-GB"/>
        </w:rPr>
        <w:t>On 17 October 2010, t</w:t>
      </w:r>
      <w:r w:rsidR="00626D00" w:rsidRPr="001C21DC">
        <w:rPr>
          <w:lang w:val="en-GB"/>
        </w:rPr>
        <w:t>he mortal remains of M.Đ.</w:t>
      </w:r>
      <w:r w:rsidR="004A4B94" w:rsidRPr="001C21DC">
        <w:rPr>
          <w:lang w:val="en-GB"/>
        </w:rPr>
        <w:t xml:space="preserve"> were handed over to his family. </w:t>
      </w:r>
    </w:p>
    <w:p w:rsidR="004A4B94" w:rsidRPr="001C21DC" w:rsidRDefault="004A4B94" w:rsidP="004A4B94">
      <w:pPr>
        <w:pStyle w:val="ListParagraph"/>
        <w:rPr>
          <w:lang w:val="en-GB"/>
        </w:rPr>
      </w:pPr>
    </w:p>
    <w:p w:rsidR="004A4B94" w:rsidRPr="001C21DC" w:rsidRDefault="004F750D" w:rsidP="003D37E0">
      <w:pPr>
        <w:pStyle w:val="ListParagraph"/>
        <w:numPr>
          <w:ilvl w:val="0"/>
          <w:numId w:val="2"/>
        </w:numPr>
        <w:suppressAutoHyphens w:val="0"/>
        <w:contextualSpacing/>
        <w:jc w:val="both"/>
        <w:rPr>
          <w:lang w:val="en-GB"/>
        </w:rPr>
      </w:pPr>
      <w:r w:rsidRPr="001C21DC">
        <w:rPr>
          <w:lang w:val="en-GB"/>
        </w:rPr>
        <w:t>Conc</w:t>
      </w:r>
      <w:r w:rsidR="00626D00" w:rsidRPr="001C21DC">
        <w:rPr>
          <w:lang w:val="en-GB"/>
        </w:rPr>
        <w:t>erning M.V.</w:t>
      </w:r>
      <w:r w:rsidR="00815867" w:rsidRPr="001C21DC">
        <w:rPr>
          <w:lang w:val="en-GB"/>
        </w:rPr>
        <w:t xml:space="preserve">, </w:t>
      </w:r>
      <w:r w:rsidR="00626D00" w:rsidRPr="001C21DC">
        <w:rPr>
          <w:lang w:val="en-GB"/>
        </w:rPr>
        <w:t xml:space="preserve">the </w:t>
      </w:r>
      <w:r w:rsidR="00815867" w:rsidRPr="001C21DC">
        <w:rPr>
          <w:lang w:val="en-GB"/>
        </w:rPr>
        <w:t xml:space="preserve">EULEX OMPF has informed the Panel that his mortal remains, consisting of </w:t>
      </w:r>
      <w:r w:rsidR="008D5AE3" w:rsidRPr="001C21DC">
        <w:rPr>
          <w:lang w:val="en-GB"/>
        </w:rPr>
        <w:t>“</w:t>
      </w:r>
      <w:r w:rsidR="00815867" w:rsidRPr="001C21DC">
        <w:rPr>
          <w:lang w:val="en-GB"/>
        </w:rPr>
        <w:t>five small fragments</w:t>
      </w:r>
      <w:r w:rsidR="008D5AE3" w:rsidRPr="001C21DC">
        <w:rPr>
          <w:lang w:val="en-GB"/>
        </w:rPr>
        <w:t>”</w:t>
      </w:r>
      <w:r w:rsidR="00815867" w:rsidRPr="001C21DC">
        <w:rPr>
          <w:lang w:val="en-GB"/>
        </w:rPr>
        <w:t xml:space="preserve">, </w:t>
      </w:r>
      <w:r w:rsidR="00626D00" w:rsidRPr="001C21DC">
        <w:rPr>
          <w:lang w:val="en-GB"/>
        </w:rPr>
        <w:t xml:space="preserve">were </w:t>
      </w:r>
      <w:r w:rsidR="00815867" w:rsidRPr="001C21DC">
        <w:rPr>
          <w:lang w:val="en-GB"/>
        </w:rPr>
        <w:t xml:space="preserve">also discovered at the </w:t>
      </w:r>
      <w:r w:rsidR="00901CE9" w:rsidRPr="001C21DC">
        <w:rPr>
          <w:lang w:val="en-GB"/>
        </w:rPr>
        <w:t>“</w:t>
      </w:r>
      <w:r w:rsidR="00815867" w:rsidRPr="001C21DC">
        <w:rPr>
          <w:lang w:val="en-GB"/>
        </w:rPr>
        <w:t>Dragodan</w:t>
      </w:r>
      <w:r w:rsidR="00901CE9" w:rsidRPr="001C21DC">
        <w:rPr>
          <w:lang w:val="en-GB"/>
        </w:rPr>
        <w:t>”</w:t>
      </w:r>
      <w:r w:rsidR="00815867" w:rsidRPr="001C21DC">
        <w:rPr>
          <w:lang w:val="en-GB"/>
        </w:rPr>
        <w:t xml:space="preserve"> cemetery in Prist</w:t>
      </w:r>
      <w:r w:rsidR="008D5AE3" w:rsidRPr="001C21DC">
        <w:rPr>
          <w:lang w:val="en-GB"/>
        </w:rPr>
        <w:t>hinë/Priština in June 2003 and</w:t>
      </w:r>
      <w:r w:rsidR="00815867" w:rsidRPr="001C21DC">
        <w:rPr>
          <w:lang w:val="en-GB"/>
        </w:rPr>
        <w:t xml:space="preserve"> identified through DNA analysis in April 2012. However, the family</w:t>
      </w:r>
      <w:r w:rsidR="008D5AE3" w:rsidRPr="001C21DC">
        <w:rPr>
          <w:lang w:val="en-GB"/>
        </w:rPr>
        <w:t xml:space="preserve"> has</w:t>
      </w:r>
      <w:r w:rsidR="00815867" w:rsidRPr="001C21DC">
        <w:rPr>
          <w:lang w:val="en-GB"/>
        </w:rPr>
        <w:t xml:space="preserve"> refused to accept the mortal remains, which were therefore handed over to the Serbian Government Commission on Missing Persons. </w:t>
      </w:r>
    </w:p>
    <w:p w:rsidR="00C643D1" w:rsidRPr="001C21DC" w:rsidRDefault="00C643D1" w:rsidP="00C643D1">
      <w:pPr>
        <w:pStyle w:val="ListParagraph"/>
        <w:rPr>
          <w:i/>
          <w:lang w:val="en-GB"/>
        </w:rPr>
      </w:pPr>
    </w:p>
    <w:p w:rsidR="00C643D1" w:rsidRPr="001C21DC" w:rsidRDefault="00C643D1" w:rsidP="0031462D">
      <w:pPr>
        <w:contextualSpacing/>
        <w:jc w:val="both"/>
        <w:rPr>
          <w:i/>
          <w:lang w:val="en-GB"/>
        </w:rPr>
      </w:pPr>
      <w:r w:rsidRPr="001C21DC">
        <w:rPr>
          <w:i/>
          <w:lang w:val="en-GB"/>
        </w:rPr>
        <w:t>Documents from NY Archives</w:t>
      </w:r>
    </w:p>
    <w:p w:rsidR="00C643D1" w:rsidRPr="001C21DC" w:rsidRDefault="00C643D1" w:rsidP="00C643D1">
      <w:pPr>
        <w:pStyle w:val="ListParagraph"/>
        <w:rPr>
          <w:lang w:val="en-GB"/>
        </w:rPr>
      </w:pPr>
    </w:p>
    <w:p w:rsidR="00C643D1" w:rsidRPr="001C21DC" w:rsidRDefault="00C643D1" w:rsidP="00C643D1">
      <w:pPr>
        <w:pStyle w:val="ListParagraph"/>
        <w:numPr>
          <w:ilvl w:val="0"/>
          <w:numId w:val="2"/>
        </w:numPr>
        <w:jc w:val="both"/>
        <w:rPr>
          <w:lang w:val="en-GB"/>
        </w:rPr>
      </w:pPr>
      <w:r w:rsidRPr="001C21DC">
        <w:rPr>
          <w:lang w:val="en-GB"/>
        </w:rPr>
        <w:t xml:space="preserve">The documents obtained from UN archives in New York include </w:t>
      </w:r>
      <w:r w:rsidR="00626D00" w:rsidRPr="001C21DC">
        <w:rPr>
          <w:lang w:val="en-GB"/>
        </w:rPr>
        <w:t>one folder labe</w:t>
      </w:r>
      <w:r w:rsidRPr="001C21DC">
        <w:rPr>
          <w:lang w:val="en-GB"/>
        </w:rPr>
        <w:t xml:space="preserve">led as MPU case file no. 1999-000107 containing copies of the MPU ante-mortem investigation reports of 2004 (see § </w:t>
      </w:r>
      <w:r w:rsidR="005A35A3">
        <w:fldChar w:fldCharType="begin"/>
      </w:r>
      <w:r w:rsidR="005A35A3">
        <w:instrText xml:space="preserve"> REF _Ref391383064 \r \h  \* MERGEFORMAT </w:instrText>
      </w:r>
      <w:r w:rsidR="005A35A3">
        <w:fldChar w:fldCharType="separate"/>
      </w:r>
      <w:r w:rsidR="00D0695D" w:rsidRPr="00D0695D">
        <w:rPr>
          <w:lang w:val="en-GB"/>
        </w:rPr>
        <w:t>47</w:t>
      </w:r>
      <w:r w:rsidR="005A35A3">
        <w:fldChar w:fldCharType="end"/>
      </w:r>
      <w:r w:rsidRPr="001C21DC">
        <w:rPr>
          <w:lang w:val="en-GB"/>
        </w:rPr>
        <w:t xml:space="preserve"> above), a Victim Identification Form </w:t>
      </w:r>
      <w:r w:rsidR="00626D00" w:rsidRPr="001C21DC">
        <w:rPr>
          <w:lang w:val="en-GB"/>
        </w:rPr>
        <w:t>for M.</w:t>
      </w:r>
      <w:r w:rsidRPr="001C21DC">
        <w:rPr>
          <w:lang w:val="en-GB"/>
        </w:rPr>
        <w:t xml:space="preserve"> Đ</w:t>
      </w:r>
      <w:r w:rsidR="00626D00" w:rsidRPr="001C21DC">
        <w:rPr>
          <w:lang w:val="en-GB"/>
        </w:rPr>
        <w:t>.</w:t>
      </w:r>
      <w:r w:rsidRPr="001C21DC">
        <w:rPr>
          <w:lang w:val="en-GB"/>
        </w:rPr>
        <w:t xml:space="preserve"> as well as copies of the ICMP DNA reports and OMPF documents (autopsy report, death certificate, identification certificate and confirmation of identity certificate) concerning </w:t>
      </w:r>
      <w:r w:rsidR="00626D00" w:rsidRPr="001C21DC">
        <w:rPr>
          <w:lang w:val="en-GB"/>
        </w:rPr>
        <w:t>M.</w:t>
      </w:r>
      <w:r w:rsidRPr="001C21DC">
        <w:rPr>
          <w:lang w:val="en-GB"/>
        </w:rPr>
        <w:t>Đ. The documents include also a six-page file marked as UNMIK WCUI-CCIU case file no. 2005-00076, containing copies of the criminal complaint filed in 2005 concerning</w:t>
      </w:r>
      <w:r w:rsidR="00626D00" w:rsidRPr="001C21DC">
        <w:rPr>
          <w:lang w:val="en-GB"/>
        </w:rPr>
        <w:t xml:space="preserve"> the abduction of </w:t>
      </w:r>
      <w:r w:rsidRPr="001C21DC">
        <w:rPr>
          <w:lang w:val="en-GB"/>
        </w:rPr>
        <w:t>D.S., and copies of the WCIU Case Report and Case Analysis Report dated 2 October 2007 and 4 October 2007, respectively (the same documents as in §</w:t>
      </w:r>
      <w:r w:rsidR="00626D00"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lang w:val="en-GB"/>
        </w:rPr>
        <w:t xml:space="preserve"> above).</w:t>
      </w:r>
    </w:p>
    <w:bookmarkEnd w:id="12"/>
    <w:p w:rsidR="00D33920" w:rsidRPr="001C21DC" w:rsidRDefault="00D33920" w:rsidP="00D33920">
      <w:pPr>
        <w:rPr>
          <w:lang w:val="en-GB" w:eastAsia="en-GB"/>
        </w:rPr>
      </w:pPr>
    </w:p>
    <w:p w:rsidR="009B49EF" w:rsidRPr="001C21DC" w:rsidRDefault="009B49EF" w:rsidP="00F27A88">
      <w:pPr>
        <w:rPr>
          <w:lang w:val="en-GB" w:eastAsia="en-GB"/>
        </w:rPr>
      </w:pPr>
    </w:p>
    <w:p w:rsidR="00F12F42" w:rsidRPr="001C21DC" w:rsidRDefault="00F12F42" w:rsidP="002132AA">
      <w:pPr>
        <w:numPr>
          <w:ilvl w:val="0"/>
          <w:numId w:val="1"/>
        </w:numPr>
        <w:suppressAutoHyphens/>
        <w:autoSpaceDE w:val="0"/>
        <w:ind w:left="360" w:hanging="360"/>
        <w:jc w:val="both"/>
        <w:rPr>
          <w:b/>
          <w:bCs/>
        </w:rPr>
      </w:pPr>
      <w:r w:rsidRPr="001C21DC">
        <w:rPr>
          <w:b/>
          <w:bCs/>
          <w:lang w:val="en-GB"/>
        </w:rPr>
        <w:t>THE</w:t>
      </w:r>
      <w:r w:rsidRPr="001C21DC">
        <w:rPr>
          <w:b/>
          <w:bCs/>
        </w:rPr>
        <w:t xml:space="preserve"> COMPLAINT</w:t>
      </w:r>
      <w:r w:rsidR="002132AA" w:rsidRPr="001C21DC">
        <w:rPr>
          <w:b/>
          <w:bCs/>
        </w:rPr>
        <w:t>S</w:t>
      </w:r>
    </w:p>
    <w:p w:rsidR="00F12F42" w:rsidRPr="001C21DC" w:rsidRDefault="00F12F42" w:rsidP="00F12F42">
      <w:pPr>
        <w:pStyle w:val="ListParagraph"/>
        <w:tabs>
          <w:tab w:val="left" w:pos="357"/>
        </w:tabs>
        <w:autoSpaceDE w:val="0"/>
        <w:ind w:left="1080"/>
        <w:jc w:val="both"/>
        <w:rPr>
          <w:b/>
          <w:bCs/>
          <w:lang w:val="en-GB"/>
        </w:rPr>
      </w:pPr>
    </w:p>
    <w:p w:rsidR="00F12F42" w:rsidRPr="001C21DC" w:rsidRDefault="00F12F42" w:rsidP="003F48D3">
      <w:pPr>
        <w:pStyle w:val="ListParagraph"/>
        <w:numPr>
          <w:ilvl w:val="0"/>
          <w:numId w:val="2"/>
        </w:numPr>
        <w:autoSpaceDE w:val="0"/>
        <w:jc w:val="both"/>
        <w:rPr>
          <w:b/>
          <w:bCs/>
          <w:lang w:val="en-GB"/>
        </w:rPr>
      </w:pPr>
      <w:r w:rsidRPr="001C21DC">
        <w:rPr>
          <w:lang w:val="en-GB"/>
        </w:rPr>
        <w:t>The complainant</w:t>
      </w:r>
      <w:r w:rsidR="00C60A2C" w:rsidRPr="001C21DC">
        <w:rPr>
          <w:lang w:val="en-GB"/>
        </w:rPr>
        <w:t>s</w:t>
      </w:r>
      <w:r w:rsidR="007A6FCD" w:rsidRPr="001C21DC">
        <w:rPr>
          <w:lang w:val="en-GB"/>
        </w:rPr>
        <w:t xml:space="preserve"> complain</w:t>
      </w:r>
      <w:r w:rsidRPr="001C21DC">
        <w:rPr>
          <w:lang w:val="en-GB"/>
        </w:rPr>
        <w:t xml:space="preserve"> about UNMIK’s alleged failure to properly investigate the </w:t>
      </w:r>
      <w:r w:rsidR="004B095F" w:rsidRPr="001C21DC">
        <w:rPr>
          <w:lang w:val="en-GB"/>
        </w:rPr>
        <w:t>abduction and</w:t>
      </w:r>
      <w:r w:rsidR="00DE64DC" w:rsidRPr="001C21DC">
        <w:rPr>
          <w:lang w:val="en-GB"/>
        </w:rPr>
        <w:t xml:space="preserve"> probable killing of </w:t>
      </w:r>
      <w:r w:rsidR="00626D00" w:rsidRPr="001C21DC">
        <w:rPr>
          <w:lang w:val="en-GB"/>
        </w:rPr>
        <w:t>M.V.</w:t>
      </w:r>
      <w:r w:rsidR="00DE64DC" w:rsidRPr="001C21DC">
        <w:rPr>
          <w:bCs/>
          <w:iCs/>
          <w:lang w:val="en-GB"/>
        </w:rPr>
        <w:t>, a</w:t>
      </w:r>
      <w:r w:rsidR="00626D00" w:rsidRPr="001C21DC">
        <w:rPr>
          <w:bCs/>
          <w:iCs/>
          <w:lang w:val="en-GB"/>
        </w:rPr>
        <w:t>nd the abduction and killing of</w:t>
      </w:r>
      <w:r w:rsidR="00626D00" w:rsidRPr="001C21DC">
        <w:rPr>
          <w:lang w:val="en-GB"/>
        </w:rPr>
        <w:t xml:space="preserve"> 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Pr="001C21DC">
        <w:rPr>
          <w:lang w:val="en-GB"/>
        </w:rPr>
        <w:t>In this regard</w:t>
      </w:r>
      <w:r w:rsidR="008637CF" w:rsidRPr="001C21DC">
        <w:rPr>
          <w:lang w:val="en-GB"/>
        </w:rPr>
        <w:t>,</w:t>
      </w:r>
      <w:r w:rsidRPr="001C21DC">
        <w:rPr>
          <w:lang w:val="en-GB"/>
        </w:rPr>
        <w:t xml:space="preserve"> the Panel deems that </w:t>
      </w:r>
      <w:r w:rsidR="006F35D0" w:rsidRPr="001C21DC">
        <w:rPr>
          <w:lang w:val="en-GB"/>
        </w:rPr>
        <w:t>the complainant</w:t>
      </w:r>
      <w:r w:rsidR="00C60A2C" w:rsidRPr="001C21DC">
        <w:rPr>
          <w:lang w:val="en-GB"/>
        </w:rPr>
        <w:t>s</w:t>
      </w:r>
      <w:r w:rsidRPr="001C21DC">
        <w:rPr>
          <w:lang w:val="en-GB"/>
        </w:rPr>
        <w:t xml:space="preserve"> invoke a violation of the procedural limb of Article 2 of the European Convention on Human Rights (ECHR).</w:t>
      </w:r>
    </w:p>
    <w:p w:rsidR="007A6FCD" w:rsidRPr="001C21DC" w:rsidRDefault="007A6FCD" w:rsidP="007A6FCD">
      <w:pPr>
        <w:pStyle w:val="ListParagraph"/>
        <w:autoSpaceDE w:val="0"/>
        <w:ind w:left="360"/>
        <w:jc w:val="both"/>
        <w:rPr>
          <w:b/>
          <w:bCs/>
          <w:lang w:val="en-GB"/>
        </w:rPr>
      </w:pPr>
    </w:p>
    <w:p w:rsidR="007A6FCD" w:rsidRPr="001C21DC" w:rsidRDefault="007A6FCD" w:rsidP="003F48D3">
      <w:pPr>
        <w:pStyle w:val="Default"/>
        <w:numPr>
          <w:ilvl w:val="0"/>
          <w:numId w:val="2"/>
        </w:numPr>
        <w:jc w:val="both"/>
        <w:rPr>
          <w:lang w:val="en-GB"/>
        </w:rPr>
      </w:pPr>
      <w:r w:rsidRPr="001C21DC">
        <w:rPr>
          <w:lang w:val="en-GB"/>
        </w:rPr>
        <w:t xml:space="preserve">The </w:t>
      </w:r>
      <w:r w:rsidR="00DE64DC" w:rsidRPr="001C21DC">
        <w:rPr>
          <w:lang w:val="en-GB"/>
        </w:rPr>
        <w:t xml:space="preserve">first (case no. 291/09) and second </w:t>
      </w:r>
      <w:r w:rsidRPr="001C21DC">
        <w:rPr>
          <w:lang w:val="en-GB"/>
        </w:rPr>
        <w:t>complainant</w:t>
      </w:r>
      <w:r w:rsidR="00DE64DC" w:rsidRPr="001C21DC">
        <w:rPr>
          <w:lang w:val="en-GB"/>
        </w:rPr>
        <w:t xml:space="preserve"> (case no. 292/09)</w:t>
      </w:r>
      <w:r w:rsidRPr="001C21DC">
        <w:rPr>
          <w:lang w:val="en-GB"/>
        </w:rPr>
        <w:t xml:space="preserve"> also complain about the mental pain and suffering allegedly caused </w:t>
      </w:r>
      <w:r w:rsidR="00351024" w:rsidRPr="001C21DC">
        <w:rPr>
          <w:lang w:val="en-GB"/>
        </w:rPr>
        <w:t xml:space="preserve">to them </w:t>
      </w:r>
      <w:r w:rsidRPr="001C21DC">
        <w:rPr>
          <w:lang w:val="en-GB"/>
        </w:rPr>
        <w:t>by this situation. In this regard, the Panel deems that the complainant</w:t>
      </w:r>
      <w:r w:rsidR="0097400B" w:rsidRPr="001C21DC">
        <w:rPr>
          <w:lang w:val="en-GB"/>
        </w:rPr>
        <w:t>s</w:t>
      </w:r>
      <w:r w:rsidRPr="001C21DC">
        <w:rPr>
          <w:lang w:val="en-GB"/>
        </w:rPr>
        <w:t xml:space="preserve"> </w:t>
      </w:r>
      <w:r w:rsidR="0097400B" w:rsidRPr="001C21DC">
        <w:rPr>
          <w:lang w:val="en-GB"/>
        </w:rPr>
        <w:t>rely</w:t>
      </w:r>
      <w:r w:rsidRPr="001C21DC">
        <w:rPr>
          <w:lang w:val="en-GB"/>
        </w:rPr>
        <w:t xml:space="preserve"> on Article 3 of the ECHR. </w:t>
      </w:r>
    </w:p>
    <w:p w:rsidR="007A6FCD" w:rsidRPr="001C21DC" w:rsidRDefault="007A6FCD" w:rsidP="00DA4E09">
      <w:pPr>
        <w:autoSpaceDE w:val="0"/>
        <w:jc w:val="both"/>
        <w:rPr>
          <w:b/>
          <w:bCs/>
          <w:lang w:val="en-GB"/>
        </w:rPr>
      </w:pPr>
    </w:p>
    <w:p w:rsidR="009B49EF" w:rsidRPr="001C21DC" w:rsidRDefault="009B49EF" w:rsidP="00DA4E09">
      <w:pPr>
        <w:autoSpaceDE w:val="0"/>
        <w:jc w:val="both"/>
        <w:rPr>
          <w:b/>
          <w:bCs/>
          <w:lang w:val="en-GB"/>
        </w:rPr>
      </w:pPr>
    </w:p>
    <w:p w:rsidR="00D12979" w:rsidRPr="001C21DC" w:rsidRDefault="00D12979" w:rsidP="003F48D3">
      <w:pPr>
        <w:numPr>
          <w:ilvl w:val="0"/>
          <w:numId w:val="1"/>
        </w:numPr>
        <w:suppressAutoHyphens/>
        <w:autoSpaceDE w:val="0"/>
        <w:ind w:left="360" w:hanging="360"/>
        <w:jc w:val="both"/>
        <w:rPr>
          <w:b/>
          <w:bCs/>
          <w:lang w:val="en-GB"/>
        </w:rPr>
      </w:pPr>
      <w:r w:rsidRPr="001C21DC">
        <w:rPr>
          <w:b/>
          <w:bCs/>
          <w:lang w:val="en-GB"/>
        </w:rPr>
        <w:t>THE LAW</w:t>
      </w:r>
    </w:p>
    <w:p w:rsidR="00D12979" w:rsidRPr="001C21DC" w:rsidRDefault="00D12979" w:rsidP="00D12979">
      <w:pPr>
        <w:suppressAutoHyphens/>
        <w:autoSpaceDE w:val="0"/>
        <w:jc w:val="both"/>
        <w:rPr>
          <w:bCs/>
          <w:lang w:val="en-GB"/>
        </w:rPr>
      </w:pPr>
    </w:p>
    <w:p w:rsidR="008F490D" w:rsidRPr="001C21DC" w:rsidRDefault="008F490D" w:rsidP="003F48D3">
      <w:pPr>
        <w:pStyle w:val="Default"/>
        <w:numPr>
          <w:ilvl w:val="0"/>
          <w:numId w:val="4"/>
        </w:numPr>
        <w:jc w:val="both"/>
        <w:rPr>
          <w:b/>
          <w:lang w:val="en-GB"/>
        </w:rPr>
      </w:pPr>
      <w:r w:rsidRPr="001C21DC">
        <w:rPr>
          <w:b/>
          <w:lang w:val="en-GB"/>
        </w:rPr>
        <w:t>Alleged violation of the procedural obligation under</w:t>
      </w:r>
      <w:r w:rsidRPr="001C21DC">
        <w:rPr>
          <w:b/>
          <w:i/>
          <w:lang w:val="en-GB"/>
        </w:rPr>
        <w:t xml:space="preserve"> </w:t>
      </w:r>
      <w:r w:rsidRPr="001C21DC">
        <w:rPr>
          <w:b/>
          <w:lang w:val="en-GB"/>
        </w:rPr>
        <w:t xml:space="preserve">Article 2 of the ECHR </w:t>
      </w:r>
    </w:p>
    <w:p w:rsidR="008F490D" w:rsidRPr="001C21DC" w:rsidRDefault="008F490D" w:rsidP="008F490D">
      <w:pPr>
        <w:tabs>
          <w:tab w:val="left" w:pos="630"/>
          <w:tab w:val="left" w:pos="2790"/>
        </w:tabs>
        <w:suppressAutoHyphens/>
        <w:autoSpaceDE w:val="0"/>
        <w:jc w:val="both"/>
        <w:rPr>
          <w:bCs/>
          <w:lang w:val="en-GB"/>
        </w:rPr>
      </w:pPr>
    </w:p>
    <w:p w:rsidR="007A6FCD" w:rsidRPr="001C21DC" w:rsidRDefault="007A6FCD" w:rsidP="003F48D3">
      <w:pPr>
        <w:pStyle w:val="ListParagraph"/>
        <w:numPr>
          <w:ilvl w:val="1"/>
          <w:numId w:val="1"/>
        </w:numPr>
        <w:tabs>
          <w:tab w:val="clear" w:pos="360"/>
          <w:tab w:val="left" w:pos="357"/>
        </w:tabs>
        <w:autoSpaceDE w:val="0"/>
        <w:contextualSpacing/>
        <w:jc w:val="both"/>
        <w:rPr>
          <w:b/>
          <w:bCs/>
          <w:lang w:val="en-GB"/>
        </w:rPr>
      </w:pPr>
      <w:r w:rsidRPr="001C21DC">
        <w:rPr>
          <w:b/>
          <w:bCs/>
          <w:lang w:val="en-GB"/>
        </w:rPr>
        <w:t>The scope of the Panel’s review</w:t>
      </w:r>
    </w:p>
    <w:p w:rsidR="001D2C42" w:rsidRPr="001C21DC" w:rsidRDefault="001D2C42" w:rsidP="001D2C42">
      <w:pPr>
        <w:suppressAutoHyphens/>
        <w:autoSpaceDE w:val="0"/>
        <w:jc w:val="both"/>
        <w:rPr>
          <w:bCs/>
          <w:lang w:val="en-GB"/>
        </w:rPr>
      </w:pPr>
    </w:p>
    <w:p w:rsidR="001D2C42" w:rsidRPr="001C21DC" w:rsidRDefault="001D2C42" w:rsidP="003F48D3">
      <w:pPr>
        <w:pStyle w:val="ListParagraph"/>
        <w:numPr>
          <w:ilvl w:val="0"/>
          <w:numId w:val="2"/>
        </w:numPr>
        <w:autoSpaceDE w:val="0"/>
        <w:jc w:val="both"/>
        <w:rPr>
          <w:bCs/>
          <w:lang w:val="en-GB"/>
        </w:rPr>
      </w:pPr>
      <w:bookmarkStart w:id="14" w:name="_Ref390964517"/>
      <w:r w:rsidRPr="001C21DC">
        <w:rPr>
          <w:bCs/>
          <w:lang w:val="en-GB"/>
        </w:rPr>
        <w:t>Before turning to the examination of the merits of the complaint, the Panel needs to clarify the scope of its review.</w:t>
      </w:r>
      <w:bookmarkEnd w:id="14"/>
    </w:p>
    <w:p w:rsidR="007A6FCD" w:rsidRPr="001C21DC" w:rsidRDefault="007A6FCD" w:rsidP="007A6FCD">
      <w:pPr>
        <w:autoSpaceDE w:val="0"/>
        <w:jc w:val="both"/>
        <w:rPr>
          <w:bCs/>
          <w:lang w:val="en-GB"/>
        </w:rPr>
      </w:pPr>
    </w:p>
    <w:p w:rsidR="007262D2" w:rsidRPr="001C21DC" w:rsidRDefault="007262D2" w:rsidP="003F48D3">
      <w:pPr>
        <w:pStyle w:val="ListParagraph"/>
        <w:numPr>
          <w:ilvl w:val="0"/>
          <w:numId w:val="2"/>
        </w:numPr>
        <w:autoSpaceDE w:val="0"/>
        <w:jc w:val="both"/>
        <w:rPr>
          <w:lang w:val="en-GB"/>
        </w:rPr>
      </w:pPr>
      <w:bookmarkStart w:id="15" w:name="_Ref366160496"/>
      <w:r w:rsidRPr="001C21DC">
        <w:rPr>
          <w:lang w:val="en-GB"/>
        </w:rPr>
        <w:t>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5"/>
      <w:r w:rsidRPr="001C21DC">
        <w:rPr>
          <w:lang w:val="en-GB"/>
        </w:rPr>
        <w:t xml:space="preserve"> </w:t>
      </w:r>
    </w:p>
    <w:p w:rsidR="007262D2" w:rsidRPr="001C21DC" w:rsidRDefault="007262D2" w:rsidP="007262D2">
      <w:pPr>
        <w:tabs>
          <w:tab w:val="left" w:pos="360"/>
        </w:tabs>
        <w:autoSpaceDE w:val="0"/>
        <w:ind w:left="360" w:hanging="360"/>
        <w:jc w:val="both"/>
        <w:rPr>
          <w:bCs/>
          <w:lang w:val="en-GB"/>
        </w:rPr>
      </w:pPr>
    </w:p>
    <w:p w:rsidR="007262D2" w:rsidRPr="001C21DC" w:rsidRDefault="007262D2" w:rsidP="003F48D3">
      <w:pPr>
        <w:numPr>
          <w:ilvl w:val="0"/>
          <w:numId w:val="2"/>
        </w:numPr>
        <w:suppressAutoHyphens/>
        <w:autoSpaceDE w:val="0"/>
        <w:jc w:val="both"/>
        <w:rPr>
          <w:lang w:val="en-GB"/>
        </w:rPr>
      </w:pPr>
      <w:bookmarkStart w:id="16" w:name="_Ref347321462"/>
      <w:bookmarkStart w:id="17" w:name="_Ref317418022"/>
      <w:r w:rsidRPr="001C21DC">
        <w:rPr>
          <w:color w:val="000000"/>
          <w:lang w:val="en-GB" w:eastAsia="nl-BE"/>
        </w:rPr>
        <w:t xml:space="preserve">The </w:t>
      </w:r>
      <w:r w:rsidRPr="001C21DC">
        <w:rPr>
          <w:bCs/>
          <w:lang w:val="en-GB"/>
        </w:rPr>
        <w:t>Panel</w:t>
      </w:r>
      <w:r w:rsidRPr="001C21DC">
        <w:rPr>
          <w:color w:val="000000"/>
          <w:lang w:val="en-GB" w:eastAsia="nl-BE"/>
        </w:rPr>
        <w:t xml:space="preserve"> notes that with the adoption of the UNMIK Regulation No. 1999/1 on 25 July 1999 UNMIK undertook an obligation to observe internationally recognised human </w:t>
      </w:r>
      <w:r w:rsidRPr="001C21DC">
        <w:rPr>
          <w:bCs/>
          <w:lang w:val="en-GB"/>
        </w:rPr>
        <w:t>rights</w:t>
      </w:r>
      <w:r w:rsidRPr="001C21DC">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1C21D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C21DC">
          <w:rPr>
            <w:rStyle w:val="Hyperlink"/>
            <w:color w:val="auto"/>
            <w:u w:val="none"/>
            <w:lang w:val="en-GB"/>
          </w:rPr>
          <w:t>the Convention Against Torture and Other Cruel, Inhuman or Degrading Treatment or Punishment</w:t>
        </w:r>
      </w:hyperlink>
      <w:r w:rsidRPr="001C21DC">
        <w:rPr>
          <w:lang w:val="en-GB"/>
        </w:rPr>
        <w:t>, the Convention on the Rights of the Child.</w:t>
      </w:r>
      <w:bookmarkEnd w:id="16"/>
    </w:p>
    <w:p w:rsidR="007262D2" w:rsidRPr="001C21DC" w:rsidRDefault="007262D2" w:rsidP="007262D2">
      <w:pPr>
        <w:tabs>
          <w:tab w:val="left" w:pos="360"/>
        </w:tabs>
        <w:suppressAutoHyphens/>
        <w:autoSpaceDE w:val="0"/>
        <w:ind w:left="360" w:hanging="360"/>
        <w:jc w:val="both"/>
        <w:rPr>
          <w:lang w:val="en-GB"/>
        </w:rPr>
      </w:pPr>
      <w:bookmarkStart w:id="18" w:name="_Ref317493050"/>
    </w:p>
    <w:p w:rsidR="007262D2" w:rsidRPr="001C21DC" w:rsidRDefault="007262D2" w:rsidP="003F48D3">
      <w:pPr>
        <w:numPr>
          <w:ilvl w:val="0"/>
          <w:numId w:val="2"/>
        </w:numPr>
        <w:suppressAutoHyphens/>
        <w:autoSpaceDE w:val="0"/>
        <w:jc w:val="both"/>
        <w:rPr>
          <w:lang w:val="en-GB"/>
        </w:rPr>
      </w:pPr>
      <w:bookmarkStart w:id="19" w:name="_Ref347495661"/>
      <w:r w:rsidRPr="001C21DC">
        <w:rPr>
          <w:rFonts w:cs="CAGLHH+TimesNewRoman"/>
          <w:color w:val="000000"/>
          <w:lang w:val="en-GB"/>
        </w:rPr>
        <w:t xml:space="preserve">The Panel also notes that Section 1.2 of </w:t>
      </w:r>
      <w:r w:rsidRPr="001C21DC">
        <w:rPr>
          <w:bCs/>
          <w:lang w:val="en-GB"/>
        </w:rPr>
        <w:t xml:space="preserve">UNMIK Regulation No. 2006/12 of 23 March 2006 on the Establishment of the Human Rights Advisory Panel </w:t>
      </w:r>
      <w:r w:rsidRPr="001C21DC">
        <w:rPr>
          <w:rFonts w:cs="CAGLHH+TimesNewRoman"/>
          <w:color w:val="000000"/>
          <w:lang w:val="en-GB"/>
        </w:rPr>
        <w:t xml:space="preserve">provides that the Panel “shall examine complaints from any person or group of individuals claiming to be the victim of a violation by UNMIK of (their) human rights”. It </w:t>
      </w:r>
      <w:r w:rsidRPr="001C21DC">
        <w:rPr>
          <w:bCs/>
          <w:lang w:val="en-GB"/>
        </w:rPr>
        <w:t>follows</w:t>
      </w:r>
      <w:r w:rsidRPr="001C21DC">
        <w:rPr>
          <w:rFonts w:cs="CAGLHH+TimesNewRoman"/>
          <w:color w:val="000000"/>
          <w:lang w:val="en-GB"/>
        </w:rPr>
        <w:t xml:space="preserve"> that only acts or omissions attributable to UNMIK fall within the jurisdiction </w:t>
      </w:r>
      <w:r w:rsidRPr="001C21DC">
        <w:rPr>
          <w:rFonts w:cs="CAGLHH+TimesNewRoman"/>
          <w:i/>
          <w:color w:val="000000"/>
          <w:lang w:val="en-GB"/>
        </w:rPr>
        <w:t>ratione personae</w:t>
      </w:r>
      <w:r w:rsidRPr="001C21DC">
        <w:rPr>
          <w:rFonts w:cs="CAGLHH+TimesNewRoman"/>
          <w:color w:val="000000"/>
          <w:lang w:val="en-GB"/>
        </w:rPr>
        <w:t xml:space="preserve"> of the Panel. In this respect, it should be noted, as stated above, that as of </w:t>
      </w:r>
      <w:r w:rsidRPr="001C21DC">
        <w:rPr>
          <w:lang w:val="en-GB"/>
        </w:rPr>
        <w:t xml:space="preserve">9 December 2008, UNMIK </w:t>
      </w:r>
      <w:r w:rsidRPr="001C21DC">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C21DC">
        <w:rPr>
          <w:bCs/>
          <w:lang w:val="en-GB"/>
        </w:rPr>
        <w:t>s</w:t>
      </w:r>
      <w:r w:rsidRPr="001C21DC">
        <w:rPr>
          <w:bCs/>
          <w:lang w:val="en-GB"/>
        </w:rPr>
        <w:t xml:space="preserve"> complain about acts that occurred after that date, they fall outside the jurisdiction </w:t>
      </w:r>
      <w:r w:rsidRPr="001C21DC">
        <w:rPr>
          <w:bCs/>
          <w:i/>
          <w:lang w:val="en-GB"/>
        </w:rPr>
        <w:t>ratione personae</w:t>
      </w:r>
      <w:r w:rsidRPr="001C21DC">
        <w:rPr>
          <w:bCs/>
          <w:lang w:val="en-GB"/>
        </w:rPr>
        <w:t xml:space="preserve"> of the Panel.</w:t>
      </w:r>
      <w:bookmarkEnd w:id="18"/>
      <w:bookmarkEnd w:id="19"/>
    </w:p>
    <w:p w:rsidR="007262D2" w:rsidRPr="001C21DC" w:rsidRDefault="007262D2" w:rsidP="007262D2">
      <w:pPr>
        <w:pStyle w:val="ListParagraph"/>
        <w:tabs>
          <w:tab w:val="left" w:pos="360"/>
        </w:tabs>
        <w:ind w:left="360" w:hanging="360"/>
        <w:rPr>
          <w:lang w:val="en-GB"/>
        </w:rPr>
      </w:pPr>
    </w:p>
    <w:p w:rsidR="007262D2" w:rsidRPr="001C21DC" w:rsidRDefault="007262D2" w:rsidP="003F48D3">
      <w:pPr>
        <w:numPr>
          <w:ilvl w:val="0"/>
          <w:numId w:val="2"/>
        </w:numPr>
        <w:suppressAutoHyphens/>
        <w:autoSpaceDE w:val="0"/>
        <w:jc w:val="both"/>
        <w:rPr>
          <w:bCs/>
          <w:lang w:val="en-GB"/>
        </w:rPr>
      </w:pPr>
      <w:r w:rsidRPr="001C21DC">
        <w:rPr>
          <w:rFonts w:cs="CAGLHH+TimesNewRoman"/>
          <w:color w:val="000000"/>
          <w:lang w:val="en-GB"/>
        </w:rPr>
        <w:t xml:space="preserve">Likewise, the Panel emphasises that, as far as its jurisdiction </w:t>
      </w:r>
      <w:r w:rsidRPr="001C21DC">
        <w:rPr>
          <w:rFonts w:cs="CAGLHH+TimesNewRoman"/>
          <w:i/>
          <w:color w:val="000000"/>
          <w:lang w:val="en-GB"/>
        </w:rPr>
        <w:t>ratione materiae</w:t>
      </w:r>
      <w:r w:rsidRPr="001C21DC">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626D00" w:rsidRPr="001C21DC">
        <w:t>62</w:t>
      </w:r>
      <w:r w:rsidRPr="001C21DC">
        <w:rPr>
          <w:rFonts w:cs="CAGLHH+TimesNewRoman"/>
          <w:color w:val="000000"/>
          <w:lang w:val="en-GB"/>
        </w:rPr>
        <w:t>).</w:t>
      </w:r>
      <w:r w:rsidRPr="001C21D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C21DC" w:rsidRDefault="007262D2" w:rsidP="007262D2">
      <w:pPr>
        <w:pStyle w:val="ListParagraph"/>
        <w:tabs>
          <w:tab w:val="left" w:pos="360"/>
        </w:tabs>
        <w:ind w:left="360" w:hanging="360"/>
        <w:rPr>
          <w:bCs/>
          <w:lang w:val="en-GB"/>
        </w:rPr>
      </w:pPr>
    </w:p>
    <w:p w:rsidR="003618D3" w:rsidRPr="001C21DC" w:rsidRDefault="007262D2" w:rsidP="003F48D3">
      <w:pPr>
        <w:numPr>
          <w:ilvl w:val="0"/>
          <w:numId w:val="2"/>
        </w:numPr>
        <w:tabs>
          <w:tab w:val="left" w:pos="630"/>
          <w:tab w:val="left" w:pos="2790"/>
        </w:tabs>
        <w:suppressAutoHyphens/>
        <w:autoSpaceDE w:val="0"/>
        <w:jc w:val="both"/>
        <w:rPr>
          <w:bCs/>
          <w:lang w:val="en-GB"/>
        </w:rPr>
      </w:pPr>
      <w:bookmarkStart w:id="20" w:name="_Ref346123885"/>
      <w:r w:rsidRPr="001C21DC">
        <w:rPr>
          <w:bCs/>
          <w:lang w:val="en-GB"/>
        </w:rPr>
        <w:t>The Panel further notes that Section 2 of UNMIK Regulation No. 2006/12 provides that t</w:t>
      </w:r>
      <w:r w:rsidRPr="001C21DC">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C21DC">
        <w:rPr>
          <w:rFonts w:cs="CAGLHH+TimesNewRoman"/>
          <w:i/>
          <w:color w:val="000000"/>
          <w:lang w:val="en-GB"/>
        </w:rPr>
        <w:t>ratione temporis</w:t>
      </w:r>
      <w:r w:rsidRPr="001C21DC">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7"/>
      <w:r w:rsidRPr="001C21DC">
        <w:rPr>
          <w:rFonts w:cs="CAGLHH+TimesNewRoman"/>
          <w:color w:val="000000"/>
          <w:lang w:val="en-GB"/>
        </w:rPr>
        <w:t xml:space="preserve"> (see European Court of Human Rights (ECtHR), Grand Chamber [GC], </w:t>
      </w:r>
      <w:r w:rsidRPr="001C21DC">
        <w:rPr>
          <w:rFonts w:cs="CAGLHH+TimesNewRoman"/>
          <w:i/>
          <w:color w:val="000000"/>
          <w:lang w:val="en-GB"/>
        </w:rPr>
        <w:t>Varnava and Others v. Turkey</w:t>
      </w:r>
      <w:r w:rsidRPr="001C21DC">
        <w:rPr>
          <w:rFonts w:cs="CAGLHH+TimesNewRoman"/>
          <w:color w:val="000000"/>
          <w:lang w:val="en-GB"/>
        </w:rPr>
        <w:t xml:space="preserve">, nos. 16064/90 and others, judgment of 18 September 2009, §§ 147-149; ECtHR, </w:t>
      </w:r>
      <w:r w:rsidRPr="001C21DC">
        <w:rPr>
          <w:rFonts w:cs="CAGLHH+TimesNewRoman"/>
          <w:i/>
          <w:color w:val="000000"/>
          <w:lang w:val="en-GB"/>
        </w:rPr>
        <w:t xml:space="preserve">Cyprus v. Turkey </w:t>
      </w:r>
      <w:r w:rsidRPr="001C21DC">
        <w:rPr>
          <w:rFonts w:cs="CAGLHH+TimesNewRoman"/>
          <w:color w:val="000000"/>
          <w:lang w:val="en-GB"/>
        </w:rPr>
        <w:t xml:space="preserve">[GC] no. </w:t>
      </w:r>
      <w:r w:rsidRPr="001C21DC">
        <w:rPr>
          <w:rStyle w:val="s85f22697"/>
          <w:lang w:val="en-GB"/>
        </w:rPr>
        <w:t>25781/94, judgment of 10 May 2001,</w:t>
      </w:r>
      <w:r w:rsidRPr="001C21DC">
        <w:rPr>
          <w:rFonts w:cs="CAGLHH+TimesNewRoman"/>
          <w:lang w:val="en-GB"/>
        </w:rPr>
        <w:t xml:space="preserve"> § 136</w:t>
      </w:r>
      <w:r w:rsidRPr="001C21DC">
        <w:rPr>
          <w:rFonts w:cs="CAGLHH+TimesNewRoman"/>
          <w:color w:val="000000"/>
          <w:lang w:val="en-GB"/>
        </w:rPr>
        <w:t>, ECHR 2001-IV).</w:t>
      </w:r>
      <w:bookmarkEnd w:id="20"/>
      <w:r w:rsidRPr="001C21DC">
        <w:rPr>
          <w:rFonts w:cs="CAGLHH+TimesNewRoman"/>
          <w:color w:val="000000"/>
          <w:lang w:val="en-GB"/>
        </w:rPr>
        <w:t xml:space="preserve"> </w:t>
      </w:r>
    </w:p>
    <w:p w:rsidR="00EC3CA8" w:rsidRPr="001C21DC" w:rsidRDefault="00EC3CA8" w:rsidP="00EC3CA8">
      <w:pPr>
        <w:ind w:left="720"/>
        <w:jc w:val="both"/>
        <w:rPr>
          <w:lang w:val="en-GB"/>
        </w:rPr>
      </w:pPr>
    </w:p>
    <w:p w:rsidR="007A6FCD" w:rsidRPr="001C21DC" w:rsidRDefault="007A6FCD" w:rsidP="002132AA">
      <w:pPr>
        <w:pStyle w:val="ListParagraph"/>
        <w:numPr>
          <w:ilvl w:val="1"/>
          <w:numId w:val="1"/>
        </w:numPr>
        <w:tabs>
          <w:tab w:val="clear" w:pos="360"/>
          <w:tab w:val="left" w:pos="357"/>
        </w:tabs>
        <w:autoSpaceDE w:val="0"/>
        <w:contextualSpacing/>
        <w:jc w:val="both"/>
        <w:rPr>
          <w:b/>
          <w:bCs/>
          <w:lang w:val="en-GB"/>
        </w:rPr>
      </w:pPr>
      <w:r w:rsidRPr="001C21DC">
        <w:rPr>
          <w:b/>
          <w:bCs/>
          <w:lang w:val="en-GB"/>
        </w:rPr>
        <w:t xml:space="preserve">The Parties’ </w:t>
      </w:r>
      <w:r w:rsidR="002132AA" w:rsidRPr="001C21DC">
        <w:rPr>
          <w:b/>
          <w:bCs/>
          <w:lang w:val="en-GB"/>
        </w:rPr>
        <w:t>s</w:t>
      </w:r>
      <w:r w:rsidRPr="001C21DC">
        <w:rPr>
          <w:b/>
          <w:bCs/>
          <w:lang w:val="en-GB"/>
        </w:rPr>
        <w:t xml:space="preserve">ubmissions </w:t>
      </w:r>
    </w:p>
    <w:p w:rsidR="007A6FCD" w:rsidRPr="001C21DC" w:rsidRDefault="007A6FCD" w:rsidP="007A6FCD">
      <w:pPr>
        <w:rPr>
          <w:b/>
          <w:lang w:val="en-GB"/>
        </w:rPr>
      </w:pPr>
    </w:p>
    <w:p w:rsidR="001D2C42" w:rsidRPr="001C21DC" w:rsidRDefault="007A6FCD" w:rsidP="003F48D3">
      <w:pPr>
        <w:numPr>
          <w:ilvl w:val="0"/>
          <w:numId w:val="2"/>
        </w:numPr>
        <w:suppressAutoHyphens/>
        <w:autoSpaceDE w:val="0"/>
        <w:jc w:val="both"/>
        <w:rPr>
          <w:lang w:val="en-GB"/>
        </w:rPr>
      </w:pPr>
      <w:r w:rsidRPr="001C21DC">
        <w:rPr>
          <w:lang w:val="en-GB"/>
        </w:rPr>
        <w:t>The complainant</w:t>
      </w:r>
      <w:r w:rsidR="00C60A2C" w:rsidRPr="001C21DC">
        <w:rPr>
          <w:lang w:val="en-GB"/>
        </w:rPr>
        <w:t>s</w:t>
      </w:r>
      <w:r w:rsidRPr="001C21DC">
        <w:rPr>
          <w:lang w:val="en-GB"/>
        </w:rPr>
        <w:t xml:space="preserve"> in substance allege</w:t>
      </w:r>
      <w:r w:rsidR="006F35D0" w:rsidRPr="001C21DC">
        <w:rPr>
          <w:lang w:val="en-GB"/>
        </w:rPr>
        <w:t xml:space="preserve"> a</w:t>
      </w:r>
      <w:r w:rsidRPr="001C21DC">
        <w:rPr>
          <w:lang w:val="en-GB"/>
        </w:rPr>
        <w:t xml:space="preserve"> violation concerning the lack of an adequate criminal investigation into the </w:t>
      </w:r>
      <w:r w:rsidR="00DE64DC" w:rsidRPr="001C21DC">
        <w:rPr>
          <w:lang w:val="en-GB"/>
        </w:rPr>
        <w:t xml:space="preserve">abduction and probable killing of </w:t>
      </w:r>
      <w:r w:rsidR="00626D00" w:rsidRPr="001C21DC">
        <w:rPr>
          <w:lang w:val="en-GB"/>
        </w:rPr>
        <w:t>M.V.</w:t>
      </w:r>
      <w:r w:rsidR="00DE64DC" w:rsidRPr="001C21DC">
        <w:rPr>
          <w:bCs/>
          <w:iCs/>
          <w:lang w:val="en-GB"/>
        </w:rPr>
        <w:t xml:space="preserve">, and the abduction and killing of </w:t>
      </w:r>
      <w:r w:rsidR="00626D00" w:rsidRPr="001C21DC">
        <w:rPr>
          <w:lang w:val="en-GB"/>
        </w:rPr>
        <w:t>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008F490D" w:rsidRPr="001C21DC">
        <w:rPr>
          <w:lang w:val="en-GB"/>
        </w:rPr>
        <w:t>The complainant</w:t>
      </w:r>
      <w:r w:rsidR="00C60A2C" w:rsidRPr="001C21DC">
        <w:rPr>
          <w:lang w:val="en-GB"/>
        </w:rPr>
        <w:t>s</w:t>
      </w:r>
      <w:r w:rsidR="008F490D" w:rsidRPr="001C21DC">
        <w:rPr>
          <w:lang w:val="en-GB"/>
        </w:rPr>
        <w:t xml:space="preserve"> also state that </w:t>
      </w:r>
      <w:r w:rsidR="00C60A2C" w:rsidRPr="001C21DC">
        <w:rPr>
          <w:lang w:val="en-GB"/>
        </w:rPr>
        <w:t>they</w:t>
      </w:r>
      <w:r w:rsidR="008F490D" w:rsidRPr="001C21DC">
        <w:rPr>
          <w:lang w:val="en-GB"/>
        </w:rPr>
        <w:t xml:space="preserve"> </w:t>
      </w:r>
      <w:r w:rsidR="00C60A2C" w:rsidRPr="001C21DC">
        <w:rPr>
          <w:lang w:val="en-GB"/>
        </w:rPr>
        <w:t>were</w:t>
      </w:r>
      <w:r w:rsidR="008F490D" w:rsidRPr="001C21DC">
        <w:rPr>
          <w:lang w:val="en-GB"/>
        </w:rPr>
        <w:t xml:space="preserve"> not informed as to whether an investigation was conducted and what the outcome was.</w:t>
      </w:r>
    </w:p>
    <w:p w:rsidR="00EF5647" w:rsidRPr="001C21DC" w:rsidRDefault="00EF5647" w:rsidP="00EF5647">
      <w:pPr>
        <w:suppressAutoHyphens/>
        <w:autoSpaceDE w:val="0"/>
        <w:ind w:left="360"/>
        <w:jc w:val="both"/>
        <w:rPr>
          <w:lang w:val="en-GB"/>
        </w:rPr>
      </w:pPr>
    </w:p>
    <w:p w:rsidR="00EF5647" w:rsidRPr="001C21DC" w:rsidRDefault="00EF5647" w:rsidP="00C47046">
      <w:pPr>
        <w:numPr>
          <w:ilvl w:val="0"/>
          <w:numId w:val="2"/>
        </w:numPr>
        <w:suppressAutoHyphens/>
        <w:autoSpaceDE w:val="0"/>
        <w:jc w:val="both"/>
        <w:rPr>
          <w:lang w:val="en-GB"/>
        </w:rPr>
      </w:pPr>
      <w:bookmarkStart w:id="21" w:name="_Ref390952363"/>
      <w:r w:rsidRPr="001C21DC">
        <w:rPr>
          <w:lang w:val="en-GB"/>
        </w:rPr>
        <w:t xml:space="preserve">In his comments </w:t>
      </w:r>
      <w:r w:rsidR="00626D00" w:rsidRPr="001C21DC">
        <w:rPr>
          <w:lang w:val="en-GB"/>
        </w:rPr>
        <w:t>on the merits of the three joined</w:t>
      </w:r>
      <w:r w:rsidRPr="001C21DC">
        <w:rPr>
          <w:lang w:val="en-GB"/>
        </w:rPr>
        <w:t xml:space="preserve"> cases, the SRSG states at the outset that UNMIK has requested from EULEX copies of relevant files previously held by the UNMIK Police WCIU a</w:t>
      </w:r>
      <w:r w:rsidR="00626D00" w:rsidRPr="001C21DC">
        <w:rPr>
          <w:lang w:val="en-GB"/>
        </w:rPr>
        <w:t>nd/or by the OMPF that were</w:t>
      </w:r>
      <w:r w:rsidRPr="001C21DC">
        <w:rPr>
          <w:lang w:val="en-GB"/>
        </w:rPr>
        <w:t xml:space="preserve"> transferred to EULEX after 2008. The SRSG further states that UNMIK</w:t>
      </w:r>
      <w:r w:rsidR="00C47046" w:rsidRPr="001C21DC">
        <w:rPr>
          <w:lang w:val="en-GB"/>
        </w:rPr>
        <w:t xml:space="preserve"> </w:t>
      </w:r>
      <w:r w:rsidRPr="001C21DC">
        <w:rPr>
          <w:lang w:val="en-GB" w:eastAsia="ar-SA"/>
        </w:rPr>
        <w:t xml:space="preserve">“was obliged to handover all police files, without exception, to EULEX, pursuant to United Nations Security Council presidential statement of 26 November 2008 and agreements entered into with EULEX. Upon UNMIK’s transfer of all police files to EULEX, UNMIK ceased to be the custodian of police records in Kosovo and could not, as a matter of principle, retain copies of classified and on-going police investigation files. UNMIK, having discharged its responsibility to hand over all police records to EULEX, may now seek permission to access such records for archiving purposes in accordance with conventional practice and agreements made with EULEX. </w:t>
      </w:r>
      <w:r w:rsidR="007E3BAA" w:rsidRPr="001C21DC">
        <w:rPr>
          <w:lang w:val="en-GB" w:eastAsia="ar-SA"/>
        </w:rPr>
        <w:t>EULEX, based on its own reasonable assessment, including any prevailing operational requirements, may, or may not, release, or release only in part, such investigation records. UNMIK therefore notes that a failure to transmit a complete investigation file to the HRAP cannot lead the HRAP to the irrebuttable presumption that UNMIK failed to carry out a proper investigation or that files were not fully and accurately handed over by UNMIK to EULEX. For this reason, UNMIK reserves its right to make additional comments on the instant matter at any further stage, should additional pertinent files be made available to it”.</w:t>
      </w:r>
      <w:bookmarkEnd w:id="21"/>
      <w:r w:rsidR="007E3BAA" w:rsidRPr="001C21DC">
        <w:rPr>
          <w:lang w:val="en-GB" w:eastAsia="ar-SA"/>
        </w:rPr>
        <w:t xml:space="preserve"> </w:t>
      </w:r>
    </w:p>
    <w:p w:rsidR="00C47046" w:rsidRPr="001C21DC" w:rsidRDefault="00C47046" w:rsidP="00C47046">
      <w:pPr>
        <w:suppressAutoHyphens/>
        <w:autoSpaceDE w:val="0"/>
        <w:ind w:left="360"/>
        <w:jc w:val="both"/>
        <w:rPr>
          <w:lang w:val="en-GB"/>
        </w:rPr>
      </w:pPr>
    </w:p>
    <w:p w:rsidR="00CA7CDD" w:rsidRPr="001C21DC" w:rsidRDefault="00960C01" w:rsidP="00CA7CDD">
      <w:pPr>
        <w:numPr>
          <w:ilvl w:val="0"/>
          <w:numId w:val="2"/>
        </w:numPr>
        <w:suppressAutoHyphens/>
        <w:autoSpaceDE w:val="0"/>
        <w:jc w:val="both"/>
        <w:rPr>
          <w:lang w:val="en-GB"/>
        </w:rPr>
      </w:pPr>
      <w:r w:rsidRPr="001C21DC">
        <w:rPr>
          <w:lang w:val="en-GB"/>
        </w:rPr>
        <w:t>O</w:t>
      </w:r>
      <w:r w:rsidR="00CA7CDD" w:rsidRPr="001C21DC">
        <w:rPr>
          <w:lang w:val="en-GB"/>
        </w:rPr>
        <w:t xml:space="preserve">n the merits of the complaint under Article 2, the SRSG acknowledges that the </w:t>
      </w:r>
      <w:r w:rsidR="0019795E" w:rsidRPr="001C21DC">
        <w:rPr>
          <w:lang w:val="en-GB"/>
        </w:rPr>
        <w:t>abduction</w:t>
      </w:r>
      <w:r w:rsidR="00CA7CDD" w:rsidRPr="001C21DC">
        <w:rPr>
          <w:lang w:val="en-GB"/>
        </w:rPr>
        <w:t xml:space="preserve"> of </w:t>
      </w:r>
      <w:r w:rsidR="00626D00" w:rsidRPr="001C21DC">
        <w:rPr>
          <w:lang w:val="en-GB"/>
        </w:rPr>
        <w:t xml:space="preserve">M.V., M.Đ. </w:t>
      </w:r>
      <w:r w:rsidR="00626D00" w:rsidRPr="001C21DC">
        <w:rPr>
          <w:bCs/>
          <w:iCs/>
          <w:lang w:val="en-GB"/>
        </w:rPr>
        <w:t>and D.S</w:t>
      </w:r>
      <w:r w:rsidR="00CA7CDD" w:rsidRPr="001C21DC">
        <w:rPr>
          <w:bCs/>
          <w:iCs/>
          <w:lang w:val="en-GB"/>
        </w:rPr>
        <w:t>.</w:t>
      </w:r>
      <w:r w:rsidR="00CA7CDD" w:rsidRPr="001C21DC">
        <w:rPr>
          <w:bCs/>
          <w:lang w:val="en-GB"/>
        </w:rPr>
        <w:t xml:space="preserve"> in June 1999 </w:t>
      </w:r>
      <w:r w:rsidR="00CA7CDD" w:rsidRPr="001C21DC">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CA7CDD" w:rsidRPr="001C21DC" w:rsidRDefault="00CA7CDD" w:rsidP="00CA7CDD">
      <w:pPr>
        <w:suppressAutoHyphens/>
        <w:autoSpaceDE w:val="0"/>
        <w:ind w:left="360"/>
        <w:jc w:val="both"/>
        <w:rPr>
          <w:lang w:val="en-GB"/>
        </w:rPr>
      </w:pPr>
    </w:p>
    <w:p w:rsidR="00CA7CDD" w:rsidRPr="001C21DC" w:rsidRDefault="00CA7CDD" w:rsidP="00CA7CDD">
      <w:pPr>
        <w:numPr>
          <w:ilvl w:val="0"/>
          <w:numId w:val="2"/>
        </w:numPr>
        <w:suppressAutoHyphens/>
        <w:autoSpaceDE w:val="0"/>
        <w:jc w:val="both"/>
        <w:rPr>
          <w:lang w:val="en-GB"/>
        </w:rPr>
      </w:pPr>
      <w:r w:rsidRPr="001C21DC">
        <w:rPr>
          <w:lang w:val="en-GB"/>
        </w:rPr>
        <w:t xml:space="preserve">The SRSG therefore accepts UNMIK’s responsibility to conduct an investigation in the case of </w:t>
      </w:r>
      <w:r w:rsidR="00626D00" w:rsidRPr="001C21DC">
        <w:rPr>
          <w:lang w:val="en-GB"/>
        </w:rPr>
        <w:t xml:space="preserve">M.V., M.Đ. </w:t>
      </w:r>
      <w:r w:rsidR="00626D00" w:rsidRPr="001C21DC">
        <w:rPr>
          <w:bCs/>
          <w:iCs/>
          <w:lang w:val="en-GB"/>
        </w:rPr>
        <w:t>and D.S</w:t>
      </w:r>
      <w:r w:rsidR="008D5AE3" w:rsidRPr="001C21DC">
        <w:rPr>
          <w:bCs/>
          <w:lang w:val="en-GB"/>
        </w:rPr>
        <w:t>.</w:t>
      </w:r>
      <w:r w:rsidRPr="001C21DC">
        <w:rPr>
          <w:lang w:val="en-GB"/>
        </w:rPr>
        <w:t xml:space="preserve"> 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041BF4" w:rsidRPr="001C21DC" w:rsidRDefault="00041BF4" w:rsidP="00041BF4">
      <w:pPr>
        <w:suppressAutoHyphens/>
        <w:autoSpaceDE w:val="0"/>
        <w:jc w:val="both"/>
        <w:rPr>
          <w:lang w:val="en-GB"/>
        </w:rPr>
      </w:pPr>
    </w:p>
    <w:p w:rsidR="00041BF4" w:rsidRPr="001C21DC" w:rsidRDefault="00041BF4" w:rsidP="00041BF4">
      <w:pPr>
        <w:numPr>
          <w:ilvl w:val="0"/>
          <w:numId w:val="2"/>
        </w:numPr>
        <w:tabs>
          <w:tab w:val="left" w:pos="709"/>
        </w:tabs>
        <w:suppressAutoHyphens/>
        <w:autoSpaceDE w:val="0"/>
        <w:jc w:val="both"/>
        <w:rPr>
          <w:lang w:eastAsia="nl-NL"/>
        </w:rPr>
      </w:pPr>
      <w:r w:rsidRPr="001C21DC">
        <w:t xml:space="preserve">The </w:t>
      </w:r>
      <w:r w:rsidRPr="001C21DC">
        <w:rPr>
          <w:bCs/>
          <w:lang w:val="en-GB"/>
        </w:rPr>
        <w:t>SRSG</w:t>
      </w:r>
      <w:r w:rsidRPr="001C21DC">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8F20F3" w:rsidRPr="001C21DC" w:rsidRDefault="008F20F3" w:rsidP="008F20F3">
      <w:pPr>
        <w:pStyle w:val="ListParagraph"/>
        <w:rPr>
          <w:lang w:eastAsia="nl-NL"/>
        </w:rPr>
      </w:pPr>
    </w:p>
    <w:p w:rsidR="008F20F3" w:rsidRPr="001C21DC" w:rsidRDefault="008F20F3" w:rsidP="008F20F3">
      <w:pPr>
        <w:numPr>
          <w:ilvl w:val="0"/>
          <w:numId w:val="2"/>
        </w:numPr>
        <w:tabs>
          <w:tab w:val="left" w:pos="709"/>
        </w:tabs>
        <w:suppressAutoHyphens/>
        <w:autoSpaceDE w:val="0"/>
        <w:jc w:val="both"/>
        <w:rPr>
          <w:lang w:eastAsia="nl-NL"/>
        </w:rPr>
      </w:pPr>
      <w:r w:rsidRPr="001C21DC">
        <w:rPr>
          <w:lang w:eastAsia="nl-NL"/>
        </w:rPr>
        <w:t xml:space="preserve">Nonetheless, according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2, must be interpreted in a way that does not impose an impossible or disproportionate burden on the authorities. In this regard, the SRSG recalls the judgment of 15 February 2011 rendered by the European Court of Human Rights in the case </w:t>
      </w:r>
      <w:r w:rsidRPr="001C21DC">
        <w:rPr>
          <w:i/>
          <w:lang w:eastAsia="nl-NL"/>
        </w:rPr>
        <w:t>Palić v. Bosnia and Herzegovina</w:t>
      </w:r>
      <w:r w:rsidRPr="001C21DC">
        <w:rPr>
          <w:lang w:eastAsia="nl-NL"/>
        </w:rPr>
        <w:t>, stating at paragraph 70:</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Sejdić and Finci v. Bosnia and Herzegovina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294E08">
      <w:pPr>
        <w:pStyle w:val="ListParagraph"/>
        <w:numPr>
          <w:ilvl w:val="0"/>
          <w:numId w:val="2"/>
        </w:numPr>
        <w:tabs>
          <w:tab w:val="left" w:pos="709"/>
        </w:tabs>
        <w:autoSpaceDE w:val="0"/>
        <w:jc w:val="both"/>
        <w:rPr>
          <w:lang w:eastAsia="nl-NL"/>
        </w:rPr>
      </w:pPr>
      <w:r w:rsidRPr="001C21DC">
        <w:rPr>
          <w:lang w:eastAsia="nl-NL"/>
        </w:rPr>
        <w:t xml:space="preserve">In the view of the SRSG, </w:t>
      </w:r>
      <w:r w:rsidR="008D5AE3" w:rsidRPr="001C21DC">
        <w:rPr>
          <w:lang w:eastAsia="nl-NL"/>
        </w:rPr>
        <w:t>the</w:t>
      </w:r>
      <w:r w:rsidRPr="001C21DC">
        <w:rPr>
          <w:lang w:eastAsia="nl-NL"/>
        </w:rPr>
        <w:t xml:space="preserve"> situa</w:t>
      </w:r>
      <w:r w:rsidR="00294E08" w:rsidRPr="001C21DC">
        <w:rPr>
          <w:lang w:eastAsia="nl-NL"/>
        </w:rPr>
        <w:t xml:space="preserve">tion in Kosovo “from 1999 to 2008 was in most respects similar to that experienced in </w:t>
      </w:r>
      <w:r w:rsidRPr="001C21DC">
        <w:rPr>
          <w:lang w:eastAsia="nl-NL"/>
        </w:rPr>
        <w:t>Bosnia</w:t>
      </w:r>
      <w:r w:rsidR="00294E08" w:rsidRPr="001C21DC">
        <w:rPr>
          <w:lang w:eastAsia="nl-NL"/>
        </w:rPr>
        <w:t xml:space="preserve"> and Herzegovina</w:t>
      </w:r>
      <w:r w:rsidRPr="001C21DC">
        <w:rPr>
          <w:lang w:eastAsia="nl-NL"/>
        </w:rPr>
        <w:t xml:space="preserve"> from 1995</w:t>
      </w:r>
      <w:r w:rsidR="00294E08" w:rsidRPr="001C21DC">
        <w:rPr>
          <w:lang w:eastAsia="nl-NL"/>
        </w:rPr>
        <w:t xml:space="preserve"> to 2005”</w:t>
      </w:r>
      <w:r w:rsidRPr="001C21DC">
        <w:rPr>
          <w:lang w:eastAsia="nl-NL"/>
        </w:rPr>
        <w:t xml:space="preserve">. </w:t>
      </w:r>
    </w:p>
    <w:p w:rsidR="00294E08" w:rsidRPr="001C21DC" w:rsidRDefault="00294E08" w:rsidP="00294E08">
      <w:pPr>
        <w:pStyle w:val="ListParagraph"/>
        <w:tabs>
          <w:tab w:val="left" w:pos="709"/>
        </w:tabs>
        <w:autoSpaceDE w:val="0"/>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294E08" w:rsidRPr="001C21DC" w:rsidRDefault="00294E08" w:rsidP="00294E08">
      <w:pPr>
        <w:pStyle w:val="ListParagrap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294E08" w:rsidRPr="001C21DC" w:rsidRDefault="00294E08" w:rsidP="00294E08">
      <w:pPr>
        <w:pStyle w:val="ListParagraph"/>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Palić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D22EDC" w:rsidRPr="001C21DC" w:rsidRDefault="00D22EDC" w:rsidP="00D22EDC">
      <w:pPr>
        <w:jc w:val="both"/>
        <w:rPr>
          <w:lang w:eastAsia="nl-NL"/>
        </w:rPr>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D22EDC" w:rsidRPr="001C21DC" w:rsidRDefault="00D22EDC" w:rsidP="00D22EDC">
      <w:pPr>
        <w:pStyle w:val="ListParagraph"/>
        <w:ind w:firstLine="720"/>
      </w:pPr>
    </w:p>
    <w:p w:rsidR="00D22EDC" w:rsidRPr="001C21DC" w:rsidRDefault="00D22EDC" w:rsidP="00D22EDC">
      <w:pPr>
        <w:pStyle w:val="Default"/>
        <w:tabs>
          <w:tab w:val="num" w:pos="450"/>
          <w:tab w:val="left" w:pos="720"/>
        </w:tabs>
        <w:ind w:left="720"/>
        <w:jc w:val="both"/>
        <w:rPr>
          <w:color w:val="auto"/>
        </w:rPr>
      </w:pPr>
      <w:r w:rsidRPr="001C21DC">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D22EDC" w:rsidRPr="001C21DC" w:rsidRDefault="00D22EDC" w:rsidP="00D22EDC">
      <w:pPr>
        <w:pStyle w:val="Default"/>
        <w:tabs>
          <w:tab w:val="num" w:pos="450"/>
          <w:tab w:val="left" w:pos="720"/>
        </w:tabs>
        <w:ind w:left="720"/>
        <w:jc w:val="both"/>
        <w:rPr>
          <w:color w:val="auto"/>
        </w:rPr>
      </w:pPr>
    </w:p>
    <w:p w:rsidR="00D22EDC" w:rsidRPr="001C21DC" w:rsidRDefault="00D22EDC" w:rsidP="00D22EDC">
      <w:pPr>
        <w:pStyle w:val="Default"/>
        <w:tabs>
          <w:tab w:val="num" w:pos="450"/>
          <w:tab w:val="left" w:pos="720"/>
        </w:tabs>
        <w:ind w:left="720"/>
        <w:jc w:val="both"/>
        <w:rPr>
          <w:color w:val="auto"/>
        </w:rPr>
      </w:pPr>
      <w:r w:rsidRPr="001C21DC">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D22EDC" w:rsidRPr="001C21DC" w:rsidRDefault="00D22EDC" w:rsidP="00D22EDC">
      <w:pPr>
        <w:tabs>
          <w:tab w:val="num" w:pos="450"/>
        </w:tabs>
        <w:ind w:left="450" w:hanging="450"/>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0E2936" w:rsidRPr="001C21DC" w:rsidRDefault="000E2936" w:rsidP="000E2936">
      <w:pPr>
        <w:pStyle w:val="Default"/>
        <w:tabs>
          <w:tab w:val="left" w:pos="720"/>
        </w:tabs>
        <w:ind w:left="360"/>
        <w:jc w:val="both"/>
        <w:rPr>
          <w:color w:val="auto"/>
        </w:rPr>
      </w:pPr>
    </w:p>
    <w:p w:rsidR="000E2936" w:rsidRPr="001C21DC" w:rsidRDefault="000E2936" w:rsidP="000E2936">
      <w:pPr>
        <w:pStyle w:val="ListParagraph"/>
        <w:numPr>
          <w:ilvl w:val="0"/>
          <w:numId w:val="2"/>
        </w:numPr>
        <w:jc w:val="both"/>
        <w:rPr>
          <w:lang w:eastAsia="nl-NL"/>
        </w:rPr>
      </w:pPr>
      <w:r w:rsidRPr="001C21DC">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0E2936" w:rsidRPr="001C21DC" w:rsidRDefault="000E2936" w:rsidP="000E2936">
      <w:pPr>
        <w:pStyle w:val="ListParagraph"/>
        <w:ind w:left="360"/>
        <w:rPr>
          <w:lang w:eastAsia="nl-NL"/>
        </w:rPr>
      </w:pPr>
    </w:p>
    <w:p w:rsidR="00CC186C" w:rsidRPr="001C21DC" w:rsidRDefault="000E2936" w:rsidP="00CC186C">
      <w:pPr>
        <w:pStyle w:val="ListParagraph"/>
        <w:numPr>
          <w:ilvl w:val="0"/>
          <w:numId w:val="2"/>
        </w:numPr>
        <w:jc w:val="both"/>
        <w:rPr>
          <w:lang w:eastAsia="nl-NL"/>
        </w:rPr>
      </w:pPr>
      <w:r w:rsidRPr="001C21DC">
        <w:rPr>
          <w:lang w:eastAsia="nl-NL"/>
        </w:rPr>
        <w:t xml:space="preserve">The SRSG therefore argues that the constraints describe above inhibited the ability of UNMIK to conduct all investigations in a manner that “may be demonstrated, or at least expected, on other States with more established institutions and without the surge in cases of this nature associated with a </w:t>
      </w:r>
      <w:r w:rsidR="00CC186C" w:rsidRPr="001C21DC">
        <w:rPr>
          <w:lang w:eastAsia="nl-NL"/>
        </w:rPr>
        <w:t>post-conflict situation”.</w:t>
      </w:r>
    </w:p>
    <w:p w:rsidR="00CC186C" w:rsidRPr="001C21DC" w:rsidRDefault="00CC186C" w:rsidP="00CC186C">
      <w:pPr>
        <w:pStyle w:val="ListParagraph"/>
        <w:rPr>
          <w:lang w:eastAsia="nl-NL"/>
        </w:rPr>
      </w:pPr>
    </w:p>
    <w:p w:rsidR="00CC186C" w:rsidRPr="001C21DC" w:rsidRDefault="008D5AE3" w:rsidP="00CC186C">
      <w:pPr>
        <w:pStyle w:val="ListParagraph"/>
        <w:numPr>
          <w:ilvl w:val="0"/>
          <w:numId w:val="2"/>
        </w:numPr>
        <w:jc w:val="both"/>
        <w:rPr>
          <w:lang w:eastAsia="nl-NL"/>
        </w:rPr>
      </w:pPr>
      <w:r w:rsidRPr="001C21DC">
        <w:rPr>
          <w:lang w:val="en-GB"/>
        </w:rPr>
        <w:t xml:space="preserve">Notwithstanding his comments </w:t>
      </w:r>
      <w:r w:rsidR="00901CE9" w:rsidRPr="001C21DC">
        <w:rPr>
          <w:lang w:val="en-GB"/>
        </w:rPr>
        <w:t xml:space="preserve">that the </w:t>
      </w:r>
      <w:r w:rsidRPr="001C21DC">
        <w:rPr>
          <w:lang w:val="en-GB"/>
        </w:rPr>
        <w:t xml:space="preserve">investigative </w:t>
      </w:r>
      <w:r w:rsidR="00CC186C" w:rsidRPr="001C21DC">
        <w:rPr>
          <w:lang w:val="en-GB"/>
        </w:rPr>
        <w:t>files</w:t>
      </w:r>
      <w:r w:rsidRPr="001C21DC">
        <w:rPr>
          <w:lang w:val="en-GB"/>
        </w:rPr>
        <w:t xml:space="preserve"> as</w:t>
      </w:r>
      <w:r w:rsidR="00CC186C" w:rsidRPr="001C21DC">
        <w:rPr>
          <w:lang w:val="en-GB"/>
        </w:rPr>
        <w:t xml:space="preserve"> transmitted </w:t>
      </w:r>
      <w:r w:rsidRPr="001C21DC">
        <w:rPr>
          <w:lang w:val="en-GB"/>
        </w:rPr>
        <w:t xml:space="preserve">by EULEX </w:t>
      </w:r>
      <w:r w:rsidR="00901CE9" w:rsidRPr="001C21DC">
        <w:rPr>
          <w:lang w:val="en-GB"/>
        </w:rPr>
        <w:t xml:space="preserve">might be incomplete </w:t>
      </w:r>
      <w:r w:rsidR="00CC186C" w:rsidRPr="001C21DC">
        <w:rPr>
          <w:lang w:val="en-GB"/>
        </w:rPr>
        <w:t xml:space="preserve">(see § </w:t>
      </w:r>
      <w:r w:rsidR="00626D00" w:rsidRPr="001C21DC">
        <w:rPr>
          <w:lang w:val="en-GB"/>
        </w:rPr>
        <w:t>67</w:t>
      </w:r>
      <w:r w:rsidR="00CC186C" w:rsidRPr="001C21DC">
        <w:rPr>
          <w:lang w:val="en-GB"/>
        </w:rPr>
        <w:t xml:space="preserve"> above), the SRSG states that, based on the available documents, it is evident that UNMIK conducted an effective investigation into the case at issue.</w:t>
      </w:r>
    </w:p>
    <w:p w:rsidR="00CC186C" w:rsidRPr="001C21DC" w:rsidRDefault="00CC186C" w:rsidP="00CC186C">
      <w:pPr>
        <w:jc w:val="both"/>
        <w:rPr>
          <w:lang w:eastAsia="nl-NL"/>
        </w:rPr>
      </w:pPr>
    </w:p>
    <w:p w:rsidR="0022091B" w:rsidRPr="001C21DC" w:rsidRDefault="0022091B" w:rsidP="0022091B">
      <w:pPr>
        <w:pStyle w:val="ListParagraph"/>
        <w:numPr>
          <w:ilvl w:val="0"/>
          <w:numId w:val="2"/>
        </w:numPr>
        <w:jc w:val="both"/>
        <w:rPr>
          <w:lang w:eastAsia="nl-NL"/>
        </w:rPr>
      </w:pPr>
      <w:r w:rsidRPr="001C21DC">
        <w:rPr>
          <w:lang w:eastAsia="nl-NL"/>
        </w:rPr>
        <w:t>With respect to the task of locating and identifying missing persons in Kosovo after the conflict, the SRSG states that initially UNMIK had no capacity to conduct DNA tests on the mortal remains that were being discovered and that their identification was therefore done through “traditional means”. Upon the creation of the OMPF in 2002, UNMIK established the performance of “DNA tests as</w:t>
      </w:r>
      <w:r w:rsidR="00626D00" w:rsidRPr="001C21DC">
        <w:rPr>
          <w:lang w:eastAsia="nl-NL"/>
        </w:rPr>
        <w:t xml:space="preserve"> a</w:t>
      </w:r>
      <w:r w:rsidRPr="001C21DC">
        <w:rPr>
          <w:lang w:eastAsia="nl-NL"/>
        </w:rPr>
        <w:t xml:space="preserve"> standard practice for identification purposes”; however the OMPF did not have “its own capacity to conduct DNA tests as it had to arrange for such professional tests with the ICMP based in Bosnia-Herzegovina”. </w:t>
      </w:r>
      <w:r w:rsidR="000F668F" w:rsidRPr="001C21DC">
        <w:rPr>
          <w:lang w:eastAsia="nl-NL"/>
        </w:rPr>
        <w:t>According to the SRSG, the establishment of the OMPF and its role in the identification of dead bodies, as confirmed by the number of missing persons recovered and identified by the OMPF between 2002 and 2008</w:t>
      </w:r>
      <w:r w:rsidR="00626D00" w:rsidRPr="001C21DC">
        <w:rPr>
          <w:lang w:eastAsia="nl-NL"/>
        </w:rPr>
        <w:t>,</w:t>
      </w:r>
      <w:r w:rsidR="000F668F" w:rsidRPr="001C21DC">
        <w:rPr>
          <w:lang w:eastAsia="nl-NL"/>
        </w:rPr>
        <w:t xml:space="preserve"> </w:t>
      </w:r>
      <w:r w:rsidR="00626D00" w:rsidRPr="001C21DC">
        <w:rPr>
          <w:lang w:eastAsia="nl-NL"/>
        </w:rPr>
        <w:t xml:space="preserve">“confirms the fact that </w:t>
      </w:r>
      <w:r w:rsidR="000F668F" w:rsidRPr="001C21DC">
        <w:rPr>
          <w:lang w:eastAsia="nl-NL"/>
        </w:rPr>
        <w:t xml:space="preserve">UNMIK’s efficiency in dealing with the challenging situation of war crimes, abductions and unlawful kills gradually improved with time”. </w:t>
      </w:r>
    </w:p>
    <w:p w:rsidR="000F668F" w:rsidRPr="001C21DC" w:rsidRDefault="000F668F" w:rsidP="000F668F">
      <w:pPr>
        <w:pStyle w:val="ListParagraph"/>
        <w:ind w:left="360"/>
        <w:jc w:val="both"/>
        <w:rPr>
          <w:lang w:eastAsia="nl-NL"/>
        </w:rPr>
      </w:pPr>
    </w:p>
    <w:p w:rsidR="00323433" w:rsidRPr="001C21DC" w:rsidRDefault="00C278FA" w:rsidP="00323433">
      <w:pPr>
        <w:pStyle w:val="ListParagraph"/>
        <w:numPr>
          <w:ilvl w:val="0"/>
          <w:numId w:val="2"/>
        </w:numPr>
        <w:jc w:val="both"/>
        <w:rPr>
          <w:lang w:eastAsia="nl-NL"/>
        </w:rPr>
      </w:pPr>
      <w:r w:rsidRPr="001C21DC">
        <w:rPr>
          <w:lang w:eastAsia="nl-NL"/>
        </w:rPr>
        <w:t xml:space="preserve">Concerning UNMIK’s investigation into the case of </w:t>
      </w:r>
      <w:r w:rsidR="00626D00" w:rsidRPr="001C21DC">
        <w:rPr>
          <w:lang w:val="en-GB"/>
        </w:rPr>
        <w:t xml:space="preserve">M.V., M.Đ. </w:t>
      </w:r>
      <w:r w:rsidR="00626D00" w:rsidRPr="001C21DC">
        <w:rPr>
          <w:bCs/>
          <w:iCs/>
          <w:lang w:val="en-GB"/>
        </w:rPr>
        <w:t>and D.S</w:t>
      </w:r>
      <w:r w:rsidR="008E7F4C" w:rsidRPr="001C21DC">
        <w:rPr>
          <w:bCs/>
          <w:iCs/>
          <w:lang w:val="en-GB"/>
        </w:rPr>
        <w:t>.</w:t>
      </w:r>
      <w:r w:rsidRPr="001C21DC">
        <w:rPr>
          <w:bCs/>
          <w:iCs/>
          <w:lang w:val="en-GB"/>
        </w:rPr>
        <w:t xml:space="preserve">, the SRSG states that, based on the documents obtained by EULEX, it is evident that UNMIK Police did open and pursue an investigation into the possibility of </w:t>
      </w:r>
      <w:r w:rsidR="008E7F4C" w:rsidRPr="001C21DC">
        <w:rPr>
          <w:bCs/>
          <w:iCs/>
          <w:lang w:val="en-GB"/>
        </w:rPr>
        <w:t>establishing the</w:t>
      </w:r>
      <w:r w:rsidR="00901CE9" w:rsidRPr="001C21DC">
        <w:rPr>
          <w:bCs/>
          <w:iCs/>
          <w:lang w:val="en-GB"/>
        </w:rPr>
        <w:t xml:space="preserve">ir whereabouts </w:t>
      </w:r>
      <w:r w:rsidR="008E7F4C" w:rsidRPr="001C21DC">
        <w:rPr>
          <w:bCs/>
          <w:iCs/>
          <w:lang w:val="en-GB"/>
        </w:rPr>
        <w:t xml:space="preserve">and </w:t>
      </w:r>
      <w:r w:rsidRPr="001C21DC">
        <w:rPr>
          <w:bCs/>
          <w:iCs/>
          <w:lang w:val="en-GB"/>
        </w:rPr>
        <w:t>identifying the</w:t>
      </w:r>
      <w:r w:rsidR="008E7F4C" w:rsidRPr="001C21DC">
        <w:rPr>
          <w:bCs/>
          <w:iCs/>
          <w:lang w:val="en-GB"/>
        </w:rPr>
        <w:t>ir</w:t>
      </w:r>
      <w:r w:rsidRPr="001C21DC">
        <w:rPr>
          <w:bCs/>
          <w:iCs/>
          <w:lang w:val="en-GB"/>
        </w:rPr>
        <w:t xml:space="preserve"> perpetr</w:t>
      </w:r>
      <w:r w:rsidR="008E7F4C" w:rsidRPr="001C21DC">
        <w:rPr>
          <w:bCs/>
          <w:iCs/>
          <w:lang w:val="en-GB"/>
        </w:rPr>
        <w:t>ators</w:t>
      </w:r>
      <w:r w:rsidRPr="001C21DC">
        <w:rPr>
          <w:bCs/>
          <w:iCs/>
          <w:lang w:val="en-GB"/>
        </w:rPr>
        <w:t>. This investigation resulted in the dis</w:t>
      </w:r>
      <w:r w:rsidR="00626D00" w:rsidRPr="001C21DC">
        <w:rPr>
          <w:bCs/>
          <w:iCs/>
          <w:lang w:val="en-GB"/>
        </w:rPr>
        <w:t xml:space="preserve">covery and identification of </w:t>
      </w:r>
      <w:r w:rsidRPr="001C21DC">
        <w:rPr>
          <w:bCs/>
          <w:iCs/>
          <w:lang w:val="en-GB"/>
        </w:rPr>
        <w:t>D.S.’s mortal remains, which were handed over to the family in 2004</w:t>
      </w:r>
      <w:r w:rsidR="00057ACD" w:rsidRPr="001C21DC">
        <w:rPr>
          <w:bCs/>
          <w:iCs/>
          <w:lang w:val="en-GB"/>
        </w:rPr>
        <w:t xml:space="preserve">, as well </w:t>
      </w:r>
      <w:r w:rsidRPr="001C21DC">
        <w:rPr>
          <w:bCs/>
          <w:iCs/>
          <w:lang w:val="en-GB"/>
        </w:rPr>
        <w:t>as to the location</w:t>
      </w:r>
      <w:r w:rsidR="00057ACD" w:rsidRPr="001C21DC">
        <w:rPr>
          <w:bCs/>
          <w:iCs/>
          <w:lang w:val="en-GB"/>
        </w:rPr>
        <w:t xml:space="preserve"> in June 2003</w:t>
      </w:r>
      <w:r w:rsidR="00626D00" w:rsidRPr="001C21DC">
        <w:rPr>
          <w:bCs/>
          <w:iCs/>
          <w:lang w:val="en-GB"/>
        </w:rPr>
        <w:t xml:space="preserve"> of M.</w:t>
      </w:r>
      <w:r w:rsidR="00626D00" w:rsidRPr="001C21DC">
        <w:rPr>
          <w:lang w:val="en-GB"/>
        </w:rPr>
        <w:t>Đ.</w:t>
      </w:r>
      <w:r w:rsidRPr="001C21DC">
        <w:rPr>
          <w:lang w:val="en-GB"/>
        </w:rPr>
        <w:t>’s mortal remains</w:t>
      </w:r>
      <w:r w:rsidR="00057ACD" w:rsidRPr="001C21DC">
        <w:rPr>
          <w:lang w:val="en-GB"/>
        </w:rPr>
        <w:t xml:space="preserve">, which were identified by the EULEX OMPF in 2010 and therefore handed over to his family. </w:t>
      </w:r>
      <w:r w:rsidR="00626D00" w:rsidRPr="001C21DC">
        <w:rPr>
          <w:lang w:val="en-GB"/>
        </w:rPr>
        <w:t>Concerning M.</w:t>
      </w:r>
      <w:r w:rsidR="00057ACD" w:rsidRPr="001C21DC">
        <w:rPr>
          <w:lang w:val="en-GB"/>
        </w:rPr>
        <w:t>V</w:t>
      </w:r>
      <w:r w:rsidR="00626D00" w:rsidRPr="001C21DC">
        <w:rPr>
          <w:lang w:val="en-GB"/>
        </w:rPr>
        <w:t>.,</w:t>
      </w:r>
      <w:r w:rsidR="00057ACD" w:rsidRPr="001C21DC">
        <w:rPr>
          <w:lang w:val="en-GB"/>
        </w:rPr>
        <w:t xml:space="preserve"> the SRSG notes the facts stated in the Panel’s admissibility decision that his mortal remains were identified through DNA analysis in 2010; however he states that there were no documents in the file receiv</w:t>
      </w:r>
      <w:r w:rsidR="00626D00" w:rsidRPr="001C21DC">
        <w:rPr>
          <w:lang w:val="en-GB"/>
        </w:rPr>
        <w:t xml:space="preserve">ed from EULEX regarding </w:t>
      </w:r>
      <w:r w:rsidR="00057ACD" w:rsidRPr="001C21DC">
        <w:rPr>
          <w:lang w:val="en-GB"/>
        </w:rPr>
        <w:t>his identification or whether his remains were returned to the family.  The SR</w:t>
      </w:r>
      <w:r w:rsidR="008D5AE3" w:rsidRPr="001C21DC">
        <w:rPr>
          <w:lang w:val="en-GB"/>
        </w:rPr>
        <w:t>SG further states that, despite the fact that</w:t>
      </w:r>
      <w:r w:rsidR="00057ACD" w:rsidRPr="001C21DC">
        <w:rPr>
          <w:lang w:val="en-GB"/>
        </w:rPr>
        <w:t xml:space="preserve"> the mortal remains of </w:t>
      </w:r>
      <w:r w:rsidR="00626D00" w:rsidRPr="001C21DC">
        <w:rPr>
          <w:bCs/>
          <w:iCs/>
          <w:lang w:val="en-GB"/>
        </w:rPr>
        <w:t>M.</w:t>
      </w:r>
      <w:r w:rsidR="00626D00" w:rsidRPr="001C21DC">
        <w:rPr>
          <w:lang w:val="en-GB"/>
        </w:rPr>
        <w:t>Đ. and M.V.</w:t>
      </w:r>
      <w:r w:rsidR="00057ACD" w:rsidRPr="001C21DC">
        <w:rPr>
          <w:lang w:val="en-GB"/>
        </w:rPr>
        <w:t xml:space="preserve"> were not identified until 2010, </w:t>
      </w:r>
      <w:r w:rsidR="001F57F0" w:rsidRPr="001C21DC">
        <w:rPr>
          <w:lang w:val="en-GB"/>
        </w:rPr>
        <w:t xml:space="preserve">after the transfer of investigative responsibilities to EULEX, the investigative efforts of the UNMIK Police certainly contributed to the identification. </w:t>
      </w:r>
    </w:p>
    <w:p w:rsidR="00057ACD" w:rsidRPr="001C21DC" w:rsidRDefault="001F57F0" w:rsidP="00057ACD">
      <w:pPr>
        <w:pStyle w:val="ListParagraph"/>
        <w:rPr>
          <w:lang w:eastAsia="nl-NL"/>
        </w:rPr>
      </w:pPr>
      <w:r w:rsidRPr="001C21DC">
        <w:rPr>
          <w:lang w:eastAsia="nl-NL"/>
        </w:rPr>
        <w:t xml:space="preserve">     </w:t>
      </w:r>
    </w:p>
    <w:p w:rsidR="00057ACD" w:rsidRPr="001C21DC" w:rsidRDefault="008E7F4C" w:rsidP="00323433">
      <w:pPr>
        <w:pStyle w:val="ListParagraph"/>
        <w:numPr>
          <w:ilvl w:val="0"/>
          <w:numId w:val="2"/>
        </w:numPr>
        <w:jc w:val="both"/>
        <w:rPr>
          <w:lang w:eastAsia="nl-NL"/>
        </w:rPr>
      </w:pPr>
      <w:bookmarkStart w:id="22" w:name="_Ref390953199"/>
      <w:r w:rsidRPr="001C21DC">
        <w:rPr>
          <w:lang w:eastAsia="nl-NL"/>
        </w:rPr>
        <w:t>Summari</w:t>
      </w:r>
      <w:r w:rsidR="00626D00" w:rsidRPr="001C21DC">
        <w:rPr>
          <w:lang w:eastAsia="nl-NL"/>
        </w:rPr>
        <w:t>s</w:t>
      </w:r>
      <w:r w:rsidRPr="001C21DC">
        <w:rPr>
          <w:lang w:eastAsia="nl-NL"/>
        </w:rPr>
        <w:t>ing the steps taken to identify the perpetrators</w:t>
      </w:r>
      <w:r w:rsidR="000446AC" w:rsidRPr="001C21DC">
        <w:rPr>
          <w:lang w:eastAsia="nl-NL"/>
        </w:rPr>
        <w:t>, t</w:t>
      </w:r>
      <w:r w:rsidRPr="001C21DC">
        <w:rPr>
          <w:lang w:eastAsia="nl-NL"/>
        </w:rPr>
        <w:t xml:space="preserve">he SRSG states that a missing person file concerning </w:t>
      </w:r>
      <w:r w:rsidR="00626D00" w:rsidRPr="001C21DC">
        <w:rPr>
          <w:lang w:val="en-GB"/>
        </w:rPr>
        <w:t xml:space="preserve">M.V., M.Đ. </w:t>
      </w:r>
      <w:r w:rsidR="00626D00" w:rsidRPr="001C21DC">
        <w:rPr>
          <w:bCs/>
          <w:iCs/>
          <w:lang w:val="en-GB"/>
        </w:rPr>
        <w:t xml:space="preserve">and D.S was </w:t>
      </w:r>
      <w:r w:rsidRPr="001C21DC">
        <w:rPr>
          <w:bCs/>
          <w:iCs/>
          <w:lang w:val="en-GB"/>
        </w:rPr>
        <w:t>opened by</w:t>
      </w:r>
      <w:r w:rsidR="000446AC" w:rsidRPr="001C21DC">
        <w:rPr>
          <w:bCs/>
          <w:iCs/>
          <w:lang w:val="en-GB"/>
        </w:rPr>
        <w:t xml:space="preserve"> the UNMIK MPU in 1999.  An</w:t>
      </w:r>
      <w:r w:rsidRPr="001C21DC">
        <w:rPr>
          <w:bCs/>
          <w:iCs/>
          <w:lang w:val="en-GB"/>
        </w:rPr>
        <w:t xml:space="preserve"> ante-mortem investigation </w:t>
      </w:r>
      <w:r w:rsidR="000446AC" w:rsidRPr="001C21DC">
        <w:rPr>
          <w:bCs/>
          <w:iCs/>
          <w:lang w:val="en-GB"/>
        </w:rPr>
        <w:t>was conducted in April 2004, when UNMIK Police gathered information from “witnesses and family members of the victims” that D.S. was driving his red “Zastava Jugo koral” vehicle when the three men disappeared. The SRSG notes that, however, according to other docume</w:t>
      </w:r>
      <w:r w:rsidR="00626D00" w:rsidRPr="001C21DC">
        <w:rPr>
          <w:bCs/>
          <w:iCs/>
          <w:lang w:val="en-GB"/>
        </w:rPr>
        <w:t>nts in the file, M.V. and M.</w:t>
      </w:r>
      <w:r w:rsidR="000446AC" w:rsidRPr="001C21DC">
        <w:rPr>
          <w:bCs/>
          <w:iCs/>
          <w:lang w:val="en-GB"/>
        </w:rPr>
        <w:t>Đ</w:t>
      </w:r>
      <w:r w:rsidR="00626D00" w:rsidRPr="001C21DC">
        <w:rPr>
          <w:bCs/>
          <w:iCs/>
          <w:lang w:val="en-GB"/>
        </w:rPr>
        <w:t>. were travelling together in</w:t>
      </w:r>
      <w:r w:rsidR="000446AC" w:rsidRPr="001C21DC">
        <w:rPr>
          <w:bCs/>
          <w:iCs/>
          <w:lang w:val="en-GB"/>
        </w:rPr>
        <w:t xml:space="preserve"> a yello</w:t>
      </w:r>
      <w:r w:rsidR="007E4F9A" w:rsidRPr="001C21DC">
        <w:rPr>
          <w:bCs/>
          <w:iCs/>
          <w:lang w:val="en-GB"/>
        </w:rPr>
        <w:t>w</w:t>
      </w:r>
      <w:r w:rsidR="000446AC" w:rsidRPr="001C21DC">
        <w:rPr>
          <w:bCs/>
          <w:iCs/>
          <w:lang w:val="en-GB"/>
        </w:rPr>
        <w:t xml:space="preserve"> “Fica” vehicle on the date of their </w:t>
      </w:r>
      <w:r w:rsidR="0019795E" w:rsidRPr="001C21DC">
        <w:rPr>
          <w:bCs/>
          <w:iCs/>
          <w:lang w:val="en-GB"/>
        </w:rPr>
        <w:t>abduction</w:t>
      </w:r>
      <w:r w:rsidR="000446AC" w:rsidRPr="001C21DC">
        <w:rPr>
          <w:bCs/>
          <w:iCs/>
          <w:lang w:val="en-GB"/>
        </w:rPr>
        <w:t>.</w:t>
      </w:r>
      <w:bookmarkEnd w:id="22"/>
    </w:p>
    <w:p w:rsidR="000446AC" w:rsidRPr="001C21DC" w:rsidRDefault="000446AC" w:rsidP="000446AC">
      <w:pPr>
        <w:pStyle w:val="ListParagraph"/>
        <w:rPr>
          <w:lang w:eastAsia="nl-NL"/>
        </w:rPr>
      </w:pPr>
    </w:p>
    <w:p w:rsidR="000446AC" w:rsidRPr="001C21DC" w:rsidRDefault="000446AC" w:rsidP="00323433">
      <w:pPr>
        <w:pStyle w:val="ListParagraph"/>
        <w:numPr>
          <w:ilvl w:val="0"/>
          <w:numId w:val="2"/>
        </w:numPr>
        <w:jc w:val="both"/>
        <w:rPr>
          <w:lang w:eastAsia="nl-NL"/>
        </w:rPr>
      </w:pPr>
      <w:r w:rsidRPr="001C21DC">
        <w:rPr>
          <w:lang w:eastAsia="nl-NL"/>
        </w:rPr>
        <w:t>On 15 April 2004, UNMIK</w:t>
      </w:r>
      <w:r w:rsidR="00626D00" w:rsidRPr="001C21DC">
        <w:rPr>
          <w:lang w:eastAsia="nl-NL"/>
        </w:rPr>
        <w:t xml:space="preserve"> MPU</w:t>
      </w:r>
      <w:r w:rsidRPr="001C21DC">
        <w:rPr>
          <w:lang w:eastAsia="nl-NL"/>
        </w:rPr>
        <w:t xml:space="preserve"> recorded one witness statement. The witness</w:t>
      </w:r>
      <w:r w:rsidR="007F120F" w:rsidRPr="001C21DC">
        <w:rPr>
          <w:lang w:eastAsia="nl-NL"/>
        </w:rPr>
        <w:t xml:space="preserve"> was not an eye-witness to the reported abduction; </w:t>
      </w:r>
      <w:r w:rsidR="00901CE9" w:rsidRPr="001C21DC">
        <w:rPr>
          <w:lang w:eastAsia="nl-NL"/>
        </w:rPr>
        <w:t xml:space="preserve">nonetheless </w:t>
      </w:r>
      <w:r w:rsidR="007F120F" w:rsidRPr="001C21DC">
        <w:rPr>
          <w:lang w:eastAsia="nl-NL"/>
        </w:rPr>
        <w:t>he</w:t>
      </w:r>
      <w:r w:rsidRPr="001C21DC">
        <w:rPr>
          <w:lang w:eastAsia="nl-NL"/>
        </w:rPr>
        <w:t xml:space="preserve"> stated</w:t>
      </w:r>
      <w:r w:rsidR="00901CE9" w:rsidRPr="001C21DC">
        <w:rPr>
          <w:lang w:eastAsia="nl-NL"/>
        </w:rPr>
        <w:t xml:space="preserve"> </w:t>
      </w:r>
      <w:r w:rsidRPr="001C21DC">
        <w:rPr>
          <w:lang w:eastAsia="nl-NL"/>
        </w:rPr>
        <w:t xml:space="preserve">that he could provide information about the place where he thought </w:t>
      </w:r>
      <w:r w:rsidR="00626D00" w:rsidRPr="001C21DC">
        <w:rPr>
          <w:lang w:val="en-GB"/>
        </w:rPr>
        <w:t xml:space="preserve">M.V., M.Đ. </w:t>
      </w:r>
      <w:r w:rsidR="00626D00" w:rsidRPr="001C21DC">
        <w:rPr>
          <w:bCs/>
          <w:iCs/>
          <w:lang w:val="en-GB"/>
        </w:rPr>
        <w:t xml:space="preserve">and D.S </w:t>
      </w:r>
      <w:r w:rsidRPr="001C21DC">
        <w:rPr>
          <w:bCs/>
          <w:iCs/>
          <w:lang w:val="en-GB"/>
        </w:rPr>
        <w:t>were being detained and offered to identify the KLA members that he saw a</w:t>
      </w:r>
      <w:r w:rsidR="007F120F" w:rsidRPr="001C21DC">
        <w:rPr>
          <w:bCs/>
          <w:iCs/>
          <w:lang w:val="en-GB"/>
        </w:rPr>
        <w:t>t</w:t>
      </w:r>
      <w:r w:rsidRPr="001C21DC">
        <w:rPr>
          <w:bCs/>
          <w:iCs/>
          <w:lang w:val="en-GB"/>
        </w:rPr>
        <w:t xml:space="preserve"> the KLA</w:t>
      </w:r>
      <w:r w:rsidR="00626D00" w:rsidRPr="001C21DC">
        <w:rPr>
          <w:bCs/>
          <w:iCs/>
          <w:lang w:val="en-GB"/>
        </w:rPr>
        <w:t xml:space="preserve"> police</w:t>
      </w:r>
      <w:r w:rsidRPr="001C21DC">
        <w:rPr>
          <w:bCs/>
          <w:iCs/>
          <w:lang w:val="en-GB"/>
        </w:rPr>
        <w:t xml:space="preserve"> station in Lipjan/Liplj</w:t>
      </w:r>
      <w:r w:rsidR="008D5AE3" w:rsidRPr="001C21DC">
        <w:rPr>
          <w:bCs/>
          <w:iCs/>
          <w:lang w:val="en-GB"/>
        </w:rPr>
        <w:t>an</w:t>
      </w:r>
      <w:r w:rsidRPr="001C21DC">
        <w:rPr>
          <w:bCs/>
          <w:iCs/>
          <w:lang w:val="en-GB"/>
        </w:rPr>
        <w:t>.</w:t>
      </w:r>
      <w:r w:rsidR="007F120F" w:rsidRPr="001C21DC">
        <w:rPr>
          <w:bCs/>
          <w:iCs/>
          <w:lang w:val="en-GB"/>
        </w:rPr>
        <w:t xml:space="preserve"> He also stated that the case had been first reported to and investigated </w:t>
      </w:r>
      <w:r w:rsidR="008D5AE3" w:rsidRPr="001C21DC">
        <w:rPr>
          <w:bCs/>
          <w:iCs/>
          <w:lang w:val="en-GB"/>
        </w:rPr>
        <w:t>by the KFOR</w:t>
      </w:r>
      <w:r w:rsidR="007F120F" w:rsidRPr="001C21DC">
        <w:rPr>
          <w:bCs/>
          <w:iCs/>
          <w:lang w:val="en-GB"/>
        </w:rPr>
        <w:t>.</w:t>
      </w:r>
      <w:r w:rsidRPr="001C21DC">
        <w:rPr>
          <w:bCs/>
          <w:iCs/>
          <w:lang w:val="en-GB"/>
        </w:rPr>
        <w:t xml:space="preserve"> This witness statement was forwarded to the CCIU. </w:t>
      </w:r>
      <w:r w:rsidR="007F120F" w:rsidRPr="001C21DC">
        <w:rPr>
          <w:bCs/>
          <w:iCs/>
          <w:lang w:val="en-GB"/>
        </w:rPr>
        <w:t xml:space="preserve">According to the SRSG, it is also important to note that, as </w:t>
      </w:r>
      <w:r w:rsidR="00626D00" w:rsidRPr="001C21DC">
        <w:rPr>
          <w:bCs/>
          <w:iCs/>
          <w:lang w:val="en-GB"/>
        </w:rPr>
        <w:t xml:space="preserve">the </w:t>
      </w:r>
      <w:r w:rsidR="007F120F" w:rsidRPr="001C21DC">
        <w:rPr>
          <w:bCs/>
          <w:iCs/>
          <w:lang w:val="en-GB"/>
        </w:rPr>
        <w:t>EULEX</w:t>
      </w:r>
      <w:r w:rsidR="008E7019" w:rsidRPr="001C21DC">
        <w:rPr>
          <w:bCs/>
          <w:iCs/>
          <w:lang w:val="en-GB"/>
        </w:rPr>
        <w:t xml:space="preserve"> </w:t>
      </w:r>
      <w:r w:rsidR="007F120F" w:rsidRPr="001C21DC">
        <w:rPr>
          <w:bCs/>
          <w:iCs/>
          <w:lang w:val="en-GB"/>
        </w:rPr>
        <w:t xml:space="preserve">SPRK reviewed the case in 2009, similarities between the case of D.S. and </w:t>
      </w:r>
      <w:r w:rsidR="000841CF" w:rsidRPr="001C21DC">
        <w:rPr>
          <w:bCs/>
          <w:iCs/>
          <w:lang w:val="en-GB"/>
        </w:rPr>
        <w:t xml:space="preserve">the </w:t>
      </w:r>
      <w:r w:rsidR="007F120F" w:rsidRPr="001C21DC">
        <w:rPr>
          <w:bCs/>
          <w:iCs/>
          <w:lang w:val="en-GB"/>
        </w:rPr>
        <w:t>one recorded under reference 2005-00076 were observed. The SPRK prosecutor recommended that the witness mention</w:t>
      </w:r>
      <w:r w:rsidR="000841CF" w:rsidRPr="001C21DC">
        <w:rPr>
          <w:bCs/>
          <w:iCs/>
          <w:lang w:val="en-GB"/>
        </w:rPr>
        <w:t xml:space="preserve">ed above be interviewed as his </w:t>
      </w:r>
      <w:r w:rsidR="007F120F" w:rsidRPr="001C21DC">
        <w:rPr>
          <w:bCs/>
          <w:iCs/>
          <w:lang w:val="en-GB"/>
        </w:rPr>
        <w:t xml:space="preserve">evidence was based on hearsay. </w:t>
      </w:r>
    </w:p>
    <w:p w:rsidR="007F120F" w:rsidRPr="001C21DC" w:rsidRDefault="007F120F" w:rsidP="007F12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The SRSG </w:t>
      </w:r>
      <w:r w:rsidR="007F120F" w:rsidRPr="001C21DC">
        <w:rPr>
          <w:lang w:eastAsia="nl-NL"/>
        </w:rPr>
        <w:t xml:space="preserve">states that the fact that </w:t>
      </w:r>
      <w:r w:rsidR="000841CF" w:rsidRPr="001C21DC">
        <w:rPr>
          <w:lang w:eastAsia="nl-NL"/>
        </w:rPr>
        <w:t>the cause of death of M.Đ.</w:t>
      </w:r>
      <w:r w:rsidR="007F120F" w:rsidRPr="001C21DC">
        <w:rPr>
          <w:lang w:eastAsia="nl-NL"/>
        </w:rPr>
        <w:t xml:space="preserve">’s mortal remains could not be ascertained through the autopsy conducted on his mortal remains “would have hindered investigative steps that could have been taken by the UNMIK Police”. </w:t>
      </w:r>
      <w:r w:rsidRPr="001C21DC">
        <w:rPr>
          <w:lang w:eastAsia="nl-NL"/>
        </w:rPr>
        <w:t>The SRSG furt</w:t>
      </w:r>
      <w:r w:rsidR="000841CF" w:rsidRPr="001C21DC">
        <w:rPr>
          <w:lang w:eastAsia="nl-NL"/>
        </w:rPr>
        <w:t>her not</w:t>
      </w:r>
      <w:r w:rsidRPr="001C21DC">
        <w:rPr>
          <w:lang w:eastAsia="nl-NL"/>
        </w:rPr>
        <w:t>es that</w:t>
      </w:r>
      <w:r w:rsidR="00901CE9" w:rsidRPr="001C21DC">
        <w:rPr>
          <w:lang w:eastAsia="nl-NL"/>
        </w:rPr>
        <w:t>,</w:t>
      </w:r>
      <w:r w:rsidRPr="001C21DC">
        <w:rPr>
          <w:lang w:eastAsia="nl-NL"/>
        </w:rPr>
        <w:t xml:space="preserve"> on 4 October 2007, </w:t>
      </w:r>
      <w:r w:rsidR="000841CF" w:rsidRPr="001C21DC">
        <w:rPr>
          <w:lang w:eastAsia="nl-NL"/>
        </w:rPr>
        <w:t xml:space="preserve">the </w:t>
      </w:r>
      <w:r w:rsidRPr="001C21DC">
        <w:rPr>
          <w:lang w:eastAsia="nl-NL"/>
        </w:rPr>
        <w:t xml:space="preserve">UNMIK WCIU concluded that there was a lack of information concerning the case, </w:t>
      </w:r>
      <w:r w:rsidR="000841CF" w:rsidRPr="001C21DC">
        <w:rPr>
          <w:lang w:eastAsia="nl-NL"/>
        </w:rPr>
        <w:t xml:space="preserve">as there were </w:t>
      </w:r>
      <w:r w:rsidRPr="001C21DC">
        <w:rPr>
          <w:lang w:eastAsia="nl-NL"/>
        </w:rPr>
        <w:t xml:space="preserve">no eye-witnesses and no evidence concerning the identity of the possible perpetrators and the exact location of the reported abduction. </w:t>
      </w:r>
    </w:p>
    <w:p w:rsidR="007D7B0F" w:rsidRPr="001C21DC" w:rsidRDefault="007D7B0F" w:rsidP="007D7B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In his comments </w:t>
      </w:r>
      <w:r w:rsidR="000841CF" w:rsidRPr="001C21DC">
        <w:rPr>
          <w:lang w:eastAsia="nl-NL"/>
        </w:rPr>
        <w:t xml:space="preserve">on the merits of the case of </w:t>
      </w:r>
      <w:r w:rsidRPr="001C21DC">
        <w:rPr>
          <w:lang w:eastAsia="nl-NL"/>
        </w:rPr>
        <w:t>D.S., dated 5 March 2012, prior</w:t>
      </w:r>
      <w:r w:rsidR="000841CF" w:rsidRPr="001C21DC">
        <w:rPr>
          <w:lang w:eastAsia="nl-NL"/>
        </w:rPr>
        <w:t xml:space="preserve"> to the Panel’s decision to join</w:t>
      </w:r>
      <w:r w:rsidRPr="001C21DC">
        <w:rPr>
          <w:lang w:eastAsia="nl-NL"/>
        </w:rPr>
        <w:t xml:space="preserve"> his case to the case</w:t>
      </w:r>
      <w:r w:rsidR="00901CE9" w:rsidRPr="001C21DC">
        <w:rPr>
          <w:lang w:eastAsia="nl-NL"/>
        </w:rPr>
        <w:t xml:space="preserve">s concerning </w:t>
      </w:r>
      <w:r w:rsidR="000841CF" w:rsidRPr="001C21DC">
        <w:rPr>
          <w:lang w:eastAsia="nl-NL"/>
        </w:rPr>
        <w:t>M.</w:t>
      </w:r>
      <w:r w:rsidRPr="001C21DC">
        <w:rPr>
          <w:lang w:eastAsia="nl-NL"/>
        </w:rPr>
        <w:t>V</w:t>
      </w:r>
      <w:r w:rsidR="000841CF" w:rsidRPr="001C21DC">
        <w:rPr>
          <w:lang w:eastAsia="nl-NL"/>
        </w:rPr>
        <w:t xml:space="preserve">. and </w:t>
      </w:r>
      <w:r w:rsidRPr="001C21DC">
        <w:rPr>
          <w:lang w:eastAsia="nl-NL"/>
        </w:rPr>
        <w:t>M</w:t>
      </w:r>
      <w:r w:rsidR="000841CF" w:rsidRPr="001C21DC">
        <w:rPr>
          <w:lang w:eastAsia="nl-NL"/>
        </w:rPr>
        <w:t>.</w:t>
      </w:r>
      <w:r w:rsidRPr="001C21DC">
        <w:rPr>
          <w:lang w:eastAsia="nl-NL"/>
        </w:rPr>
        <w:t>Đ</w:t>
      </w:r>
      <w:r w:rsidR="000841CF" w:rsidRPr="001C21DC">
        <w:rPr>
          <w:lang w:eastAsia="nl-NL"/>
        </w:rPr>
        <w:t>.</w:t>
      </w:r>
      <w:r w:rsidRPr="001C21DC">
        <w:rPr>
          <w:lang w:eastAsia="nl-NL"/>
        </w:rPr>
        <w:t>, the</w:t>
      </w:r>
      <w:r w:rsidR="00702500" w:rsidRPr="001C21DC">
        <w:rPr>
          <w:lang w:eastAsia="nl-NL"/>
        </w:rPr>
        <w:t xml:space="preserve"> SRSG states that</w:t>
      </w:r>
      <w:r w:rsidRPr="001C21DC">
        <w:rPr>
          <w:lang w:eastAsia="nl-NL"/>
        </w:rPr>
        <w:t xml:space="preserve"> </w:t>
      </w:r>
      <w:r w:rsidR="00702500" w:rsidRPr="001C21DC">
        <w:rPr>
          <w:lang w:eastAsia="nl-NL"/>
        </w:rPr>
        <w:t xml:space="preserve">the inconsistencies between “the one witness statement and information concerning the movements and sightings of the victim, both in Kosovo and in Albania, rendered the credibility of the only probable </w:t>
      </w:r>
      <w:r w:rsidR="008D5AE3" w:rsidRPr="001C21DC">
        <w:rPr>
          <w:lang w:eastAsia="nl-NL"/>
        </w:rPr>
        <w:t>witness”, that is one of the sources indicated</w:t>
      </w:r>
      <w:r w:rsidR="008E7019" w:rsidRPr="001C21DC">
        <w:rPr>
          <w:lang w:eastAsia="nl-NL"/>
        </w:rPr>
        <w:t xml:space="preserve"> in the</w:t>
      </w:r>
      <w:r w:rsidR="008D5AE3" w:rsidRPr="001C21DC">
        <w:rPr>
          <w:lang w:eastAsia="nl-NL"/>
        </w:rPr>
        <w:t xml:space="preserve"> </w:t>
      </w:r>
      <w:r w:rsidR="008E7019" w:rsidRPr="001C21DC">
        <w:rPr>
          <w:lang w:eastAsia="nl-NL"/>
        </w:rPr>
        <w:t>document mentioned in § 43 above,</w:t>
      </w:r>
      <w:r w:rsidR="008D5AE3" w:rsidRPr="001C21DC">
        <w:rPr>
          <w:lang w:eastAsia="nl-NL"/>
        </w:rPr>
        <w:t xml:space="preserve"> “</w:t>
      </w:r>
      <w:r w:rsidR="00702500" w:rsidRPr="001C21DC">
        <w:rPr>
          <w:lang w:eastAsia="nl-NL"/>
        </w:rPr>
        <w:t xml:space="preserve">doubtful”. </w:t>
      </w:r>
    </w:p>
    <w:p w:rsidR="007D7B0F" w:rsidRPr="001C21DC" w:rsidRDefault="007D7B0F" w:rsidP="007D7B0F">
      <w:pPr>
        <w:pStyle w:val="ListParagraph"/>
        <w:rPr>
          <w:lang w:eastAsia="nl-NL"/>
        </w:rPr>
      </w:pPr>
    </w:p>
    <w:p w:rsidR="00C221F8" w:rsidRPr="001C21DC" w:rsidRDefault="00702500" w:rsidP="00C221F8">
      <w:pPr>
        <w:pStyle w:val="ListParagraph"/>
        <w:numPr>
          <w:ilvl w:val="0"/>
          <w:numId w:val="2"/>
        </w:numPr>
        <w:autoSpaceDE w:val="0"/>
        <w:jc w:val="both"/>
        <w:rPr>
          <w:lang w:eastAsia="nl-NL"/>
        </w:rPr>
      </w:pPr>
      <w:r w:rsidRPr="001C21DC">
        <w:rPr>
          <w:lang w:eastAsia="nl-NL"/>
        </w:rPr>
        <w:t>In his comments of 20 May 2014, the SRSG reiterates that</w:t>
      </w:r>
      <w:r w:rsidR="007D7B0F" w:rsidRPr="001C21DC">
        <w:rPr>
          <w:lang w:eastAsia="nl-NL"/>
        </w:rPr>
        <w:t xml:space="preserve"> “the conflicting nature of witness statements regarding the vehicle that was being driven the day of the </w:t>
      </w:r>
      <w:r w:rsidR="000841CF" w:rsidRPr="001C21DC">
        <w:rPr>
          <w:lang w:eastAsia="nl-NL"/>
        </w:rPr>
        <w:t>disappearance</w:t>
      </w:r>
      <w:r w:rsidR="007D7B0F" w:rsidRPr="001C21DC">
        <w:rPr>
          <w:lang w:eastAsia="nl-NL"/>
        </w:rPr>
        <w:t xml:space="preserve">, the lack of any eye-witnesses and physical evidence all posed a real hurdle to the conclusion of any investigation by UNMIK”. </w:t>
      </w:r>
      <w:r w:rsidR="001A0B5E" w:rsidRPr="001C21DC">
        <w:rPr>
          <w:lang w:eastAsia="nl-NL"/>
        </w:rPr>
        <w:t>The SRSG states that without witnesses or physical evidence being discovered, police investigations inevitably stall because of lack</w:t>
      </w:r>
      <w:r w:rsidR="007E4F9A" w:rsidRPr="001C21DC">
        <w:rPr>
          <w:lang w:eastAsia="nl-NL"/>
        </w:rPr>
        <w:t xml:space="preserve"> of</w:t>
      </w:r>
      <w:r w:rsidR="001A0B5E" w:rsidRPr="001C21DC">
        <w:rPr>
          <w:lang w:eastAsia="nl-NL"/>
        </w:rPr>
        <w:t xml:space="preserve"> evidence. </w:t>
      </w:r>
      <w:r w:rsidRPr="001C21DC">
        <w:rPr>
          <w:lang w:eastAsia="nl-NL"/>
        </w:rPr>
        <w:t>The SRSG</w:t>
      </w:r>
      <w:r w:rsidR="001A0B5E" w:rsidRPr="001C21DC">
        <w:rPr>
          <w:lang w:eastAsia="nl-NL"/>
        </w:rPr>
        <w:t xml:space="preserve"> further</w:t>
      </w:r>
      <w:r w:rsidRPr="001C21DC">
        <w:rPr>
          <w:lang w:eastAsia="nl-NL"/>
        </w:rPr>
        <w:t xml:space="preserve"> states that “nothing in the available file</w:t>
      </w:r>
      <w:r w:rsidR="000841CF" w:rsidRPr="001C21DC">
        <w:rPr>
          <w:lang w:eastAsia="nl-NL"/>
        </w:rPr>
        <w:t>s</w:t>
      </w:r>
      <w:r w:rsidRPr="001C21DC">
        <w:rPr>
          <w:lang w:eastAsia="nl-NL"/>
        </w:rPr>
        <w:t xml:space="preserve"> indicates that UNMIK Police had any investigative leads through which it could concretely follow up and successfully arrest and prosecute the perpetrators</w:t>
      </w:r>
      <w:r w:rsidR="001A0B5E" w:rsidRPr="001C21DC">
        <w:rPr>
          <w:lang w:eastAsia="nl-NL"/>
        </w:rPr>
        <w:t>”</w:t>
      </w:r>
      <w:r w:rsidRPr="001C21DC">
        <w:rPr>
          <w:lang w:eastAsia="nl-NL"/>
        </w:rPr>
        <w:t>.</w:t>
      </w:r>
    </w:p>
    <w:p w:rsidR="001A0B5E" w:rsidRPr="001C21DC" w:rsidRDefault="001A0B5E" w:rsidP="001A0B5E">
      <w:pPr>
        <w:pStyle w:val="ListParagraph"/>
        <w:rPr>
          <w:lang w:eastAsia="nl-NL"/>
        </w:rPr>
      </w:pPr>
    </w:p>
    <w:p w:rsidR="00B429C5" w:rsidRPr="001C21DC" w:rsidRDefault="001A0B5E" w:rsidP="00C221F8">
      <w:pPr>
        <w:pStyle w:val="ListParagraph"/>
        <w:numPr>
          <w:ilvl w:val="0"/>
          <w:numId w:val="2"/>
        </w:numPr>
        <w:autoSpaceDE w:val="0"/>
        <w:jc w:val="both"/>
        <w:rPr>
          <w:lang w:eastAsia="nl-NL"/>
        </w:rPr>
      </w:pPr>
      <w:r w:rsidRPr="001C21DC">
        <w:rPr>
          <w:lang w:eastAsia="nl-NL"/>
        </w:rPr>
        <w:t xml:space="preserve">In light of the above, the SRSG argues that UNMIK did conduct an investigation in accordance with the procedural requirements of Article 2 of the ECHR. </w:t>
      </w:r>
    </w:p>
    <w:p w:rsidR="00B429C5" w:rsidRDefault="00B429C5" w:rsidP="00C221F8">
      <w:pPr>
        <w:suppressAutoHyphens/>
        <w:autoSpaceDE w:val="0"/>
        <w:jc w:val="both"/>
        <w:rPr>
          <w:lang w:val="en-GB"/>
        </w:rPr>
      </w:pPr>
    </w:p>
    <w:p w:rsidR="003D4ADE" w:rsidRDefault="003D4ADE" w:rsidP="00C221F8">
      <w:pPr>
        <w:suppressAutoHyphens/>
        <w:autoSpaceDE w:val="0"/>
        <w:jc w:val="both"/>
        <w:rPr>
          <w:lang w:val="en-GB"/>
        </w:rPr>
      </w:pPr>
    </w:p>
    <w:p w:rsidR="003D4ADE" w:rsidRDefault="003D4ADE" w:rsidP="00C221F8">
      <w:pPr>
        <w:suppressAutoHyphens/>
        <w:autoSpaceDE w:val="0"/>
        <w:jc w:val="both"/>
        <w:rPr>
          <w:lang w:val="en-GB"/>
        </w:rPr>
      </w:pPr>
    </w:p>
    <w:p w:rsidR="003D4ADE" w:rsidRPr="001C21DC" w:rsidRDefault="003D4ADE" w:rsidP="00C221F8">
      <w:pPr>
        <w:suppressAutoHyphens/>
        <w:autoSpaceDE w:val="0"/>
        <w:jc w:val="both"/>
        <w:rPr>
          <w:lang w:val="en-GB"/>
        </w:rPr>
      </w:pPr>
    </w:p>
    <w:p w:rsidR="00060C31" w:rsidRPr="001C21DC" w:rsidRDefault="00060C31" w:rsidP="002132AA">
      <w:pPr>
        <w:pStyle w:val="ListParagraph"/>
        <w:numPr>
          <w:ilvl w:val="1"/>
          <w:numId w:val="1"/>
        </w:numPr>
        <w:tabs>
          <w:tab w:val="clear" w:pos="360"/>
          <w:tab w:val="left" w:pos="357"/>
        </w:tabs>
        <w:autoSpaceDE w:val="0"/>
        <w:contextualSpacing/>
        <w:jc w:val="both"/>
        <w:rPr>
          <w:b/>
          <w:lang w:val="en-GB"/>
        </w:rPr>
      </w:pPr>
      <w:r w:rsidRPr="001C21DC">
        <w:rPr>
          <w:b/>
          <w:lang w:val="en-GB"/>
        </w:rPr>
        <w:t xml:space="preserve">The </w:t>
      </w:r>
      <w:r w:rsidRPr="001C21DC">
        <w:rPr>
          <w:b/>
          <w:bCs/>
          <w:lang w:val="en-GB"/>
        </w:rPr>
        <w:t>Panel’s</w:t>
      </w:r>
      <w:r w:rsidRPr="001C21DC">
        <w:rPr>
          <w:b/>
          <w:lang w:val="en-GB"/>
        </w:rPr>
        <w:t xml:space="preserve"> assessment</w:t>
      </w:r>
    </w:p>
    <w:p w:rsidR="00060C31" w:rsidRPr="001C21DC" w:rsidRDefault="00060C31" w:rsidP="00060C31">
      <w:pPr>
        <w:jc w:val="both"/>
        <w:rPr>
          <w:color w:val="000000"/>
          <w:lang w:val="en-GB"/>
        </w:rPr>
      </w:pPr>
    </w:p>
    <w:p w:rsidR="00987028" w:rsidRPr="001C21DC" w:rsidRDefault="00987028" w:rsidP="004572A3">
      <w:pPr>
        <w:numPr>
          <w:ilvl w:val="0"/>
          <w:numId w:val="2"/>
        </w:numPr>
        <w:suppressAutoHyphens/>
        <w:autoSpaceDE w:val="0"/>
        <w:jc w:val="both"/>
        <w:rPr>
          <w:bCs/>
          <w:lang w:val="en-GB"/>
        </w:rPr>
      </w:pPr>
      <w:r w:rsidRPr="001C21DC">
        <w:rPr>
          <w:bCs/>
          <w:lang w:val="en-GB"/>
        </w:rPr>
        <w:t>The Panel considers that the complainant</w:t>
      </w:r>
      <w:r w:rsidR="0097400B" w:rsidRPr="001C21DC">
        <w:rPr>
          <w:bCs/>
          <w:lang w:val="en-GB"/>
        </w:rPr>
        <w:t>s</w:t>
      </w:r>
      <w:r w:rsidRPr="001C21DC">
        <w:rPr>
          <w:bCs/>
          <w:lang w:val="en-GB"/>
        </w:rPr>
        <w:t xml:space="preserve"> invoke a violation of the procedural obligation stemming from the right to life, guaranteed by Article 2 of the European Convention on Human Rights (ECHR) in that UNMIK did not conduct an effective investigation into </w:t>
      </w:r>
      <w:r w:rsidR="004572A3" w:rsidRPr="001C21DC">
        <w:rPr>
          <w:bCs/>
          <w:lang w:val="en-GB"/>
        </w:rPr>
        <w:t xml:space="preserve">the abduction and probable killing of </w:t>
      </w:r>
      <w:r w:rsidR="000841CF" w:rsidRPr="001C21DC">
        <w:rPr>
          <w:bCs/>
          <w:lang w:val="en-GB"/>
        </w:rPr>
        <w:t>M.V.</w:t>
      </w:r>
      <w:r w:rsidR="004572A3" w:rsidRPr="001C21DC">
        <w:rPr>
          <w:bCs/>
          <w:lang w:val="en-GB"/>
        </w:rPr>
        <w:t>, and the abd</w:t>
      </w:r>
      <w:r w:rsidR="000841CF" w:rsidRPr="001C21DC">
        <w:rPr>
          <w:bCs/>
          <w:lang w:val="en-GB"/>
        </w:rPr>
        <w:t xml:space="preserve">uction and killing of M.Đ. and </w:t>
      </w:r>
      <w:r w:rsidR="004572A3" w:rsidRPr="001C21DC">
        <w:rPr>
          <w:bCs/>
          <w:lang w:val="en-GB"/>
        </w:rPr>
        <w:t>D.S.</w:t>
      </w:r>
    </w:p>
    <w:p w:rsidR="00987028" w:rsidRPr="001C21DC" w:rsidRDefault="00987028" w:rsidP="008766C9">
      <w:pPr>
        <w:pStyle w:val="ListParagraph"/>
        <w:ind w:left="360"/>
        <w:jc w:val="both"/>
        <w:rPr>
          <w:color w:val="000000"/>
          <w:lang w:val="en-GB"/>
        </w:rPr>
      </w:pPr>
    </w:p>
    <w:p w:rsidR="00060C31" w:rsidRPr="001C21DC" w:rsidRDefault="00060C31" w:rsidP="003F48D3">
      <w:pPr>
        <w:pStyle w:val="ListParagraph"/>
        <w:numPr>
          <w:ilvl w:val="0"/>
          <w:numId w:val="7"/>
        </w:numPr>
        <w:contextualSpacing/>
        <w:jc w:val="both"/>
        <w:rPr>
          <w:i/>
          <w:color w:val="000000"/>
          <w:lang w:val="en-GB"/>
        </w:rPr>
      </w:pPr>
      <w:r w:rsidRPr="001C21DC">
        <w:rPr>
          <w:i/>
          <w:color w:val="000000"/>
          <w:lang w:val="en-GB"/>
        </w:rPr>
        <w:t>Submission of relevant files</w:t>
      </w:r>
    </w:p>
    <w:p w:rsidR="00060C31" w:rsidRPr="001C21DC" w:rsidRDefault="00060C31" w:rsidP="00060C31">
      <w:pPr>
        <w:rPr>
          <w:lang w:val="en-GB"/>
        </w:rPr>
      </w:pPr>
    </w:p>
    <w:p w:rsidR="00DF7D42" w:rsidRPr="001C21DC" w:rsidRDefault="009036E8" w:rsidP="00C550D7">
      <w:pPr>
        <w:pStyle w:val="ListParagraph"/>
        <w:numPr>
          <w:ilvl w:val="0"/>
          <w:numId w:val="2"/>
        </w:numPr>
        <w:autoSpaceDE w:val="0"/>
        <w:jc w:val="both"/>
        <w:rPr>
          <w:lang w:val="en-GB"/>
        </w:rPr>
      </w:pPr>
      <w:r w:rsidRPr="001C21DC">
        <w:rPr>
          <w:lang w:val="en-GB"/>
        </w:rPr>
        <w:t xml:space="preserve">UNMIK confirmed that </w:t>
      </w:r>
      <w:r w:rsidR="008E3F48" w:rsidRPr="001C21DC">
        <w:rPr>
          <w:lang w:val="en-GB"/>
        </w:rPr>
        <w:t>all available files regarding the investigation h</w:t>
      </w:r>
      <w:r w:rsidR="004572A3" w:rsidRPr="001C21DC">
        <w:rPr>
          <w:lang w:val="en-GB"/>
        </w:rPr>
        <w:t>ave been presented to the Panel.</w:t>
      </w:r>
      <w:r w:rsidR="00C550D7" w:rsidRPr="001C21DC">
        <w:rPr>
          <w:lang w:val="en-GB"/>
        </w:rPr>
        <w:t xml:space="preserve"> However, the SRSG suggests that the files might be incomplete and </w:t>
      </w:r>
      <w:r w:rsidR="00C550D7" w:rsidRPr="001C21DC">
        <w:t>reserves his right to make additional comments on the instant matter at a further stage, should additional pertinent files be made available (see §</w:t>
      </w:r>
      <w:r w:rsidR="000841CF" w:rsidRPr="001C21DC">
        <w:t xml:space="preserve"> 67</w:t>
      </w:r>
      <w:r w:rsidR="00C550D7" w:rsidRPr="001C21DC">
        <w:t xml:space="preserve"> above). </w:t>
      </w:r>
    </w:p>
    <w:p w:rsidR="00ED52AA" w:rsidRPr="001C21DC" w:rsidRDefault="00ED52AA" w:rsidP="00FE0B68">
      <w:pPr>
        <w:suppressAutoHyphens/>
        <w:jc w:val="both"/>
        <w:rPr>
          <w:lang w:val="en-GB"/>
        </w:rPr>
      </w:pPr>
    </w:p>
    <w:p w:rsidR="00A73A2A" w:rsidRPr="001C21DC" w:rsidRDefault="008E3F48" w:rsidP="003F48D3">
      <w:pPr>
        <w:numPr>
          <w:ilvl w:val="0"/>
          <w:numId w:val="2"/>
        </w:numPr>
        <w:tabs>
          <w:tab w:val="clear" w:pos="360"/>
          <w:tab w:val="num" w:pos="540"/>
        </w:tabs>
        <w:suppressAutoHyphens/>
        <w:jc w:val="both"/>
        <w:rPr>
          <w:lang w:val="en-GB"/>
        </w:rPr>
      </w:pPr>
      <w:r w:rsidRPr="001C21DC">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C21DC">
        <w:rPr>
          <w:i/>
          <w:lang w:val="en-GB"/>
        </w:rPr>
        <w:t>Çelikbilek v. Turkey</w:t>
      </w:r>
      <w:r w:rsidRPr="001C21DC">
        <w:rPr>
          <w:lang w:val="en-GB"/>
        </w:rPr>
        <w:t xml:space="preserve">, </w:t>
      </w:r>
      <w:r w:rsidRPr="001C21DC">
        <w:rPr>
          <w:lang w:val="en-GB" w:eastAsia="nl-BE"/>
        </w:rPr>
        <w:t>no. 27693/95, judgment of 31 May 2005</w:t>
      </w:r>
      <w:r w:rsidRPr="001C21DC">
        <w:rPr>
          <w:i/>
          <w:iCs/>
          <w:lang w:val="en-GB" w:eastAsia="nl-BE"/>
        </w:rPr>
        <w:t>,</w:t>
      </w:r>
      <w:r w:rsidRPr="001C21DC">
        <w:rPr>
          <w:iCs/>
          <w:lang w:val="en-GB" w:eastAsia="nl-BE"/>
        </w:rPr>
        <w:t xml:space="preserve"> § 56).</w:t>
      </w:r>
      <w:r w:rsidRPr="001C21DC">
        <w:rPr>
          <w:rFonts w:ascii="Helv" w:hAnsi="Helv" w:cs="Helv"/>
          <w:sz w:val="20"/>
          <w:szCs w:val="20"/>
          <w:lang w:val="en-GB" w:eastAsia="nl-BE"/>
        </w:rPr>
        <w:t xml:space="preserve"> </w:t>
      </w:r>
      <w:bookmarkStart w:id="23" w:name="_Ref342296805"/>
    </w:p>
    <w:p w:rsidR="00A560DF" w:rsidRPr="001C21DC" w:rsidRDefault="00A560DF" w:rsidP="00A560DF">
      <w:pPr>
        <w:suppressAutoHyphens/>
        <w:jc w:val="both"/>
        <w:rPr>
          <w:lang w:val="en-GB"/>
        </w:rPr>
      </w:pPr>
    </w:p>
    <w:p w:rsidR="007300A8" w:rsidRPr="001C21DC" w:rsidRDefault="00A560DF" w:rsidP="00C550D7">
      <w:pPr>
        <w:pStyle w:val="ListParagraph"/>
        <w:numPr>
          <w:ilvl w:val="0"/>
          <w:numId w:val="2"/>
        </w:numPr>
        <w:autoSpaceDE w:val="0"/>
        <w:jc w:val="both"/>
        <w:rPr>
          <w:lang w:val="en-GB"/>
        </w:rPr>
      </w:pPr>
      <w:r w:rsidRPr="001C21DC">
        <w:t xml:space="preserve">The Panel </w:t>
      </w:r>
      <w:r w:rsidR="00C550D7" w:rsidRPr="001C21DC">
        <w:t>notes the SRSG’s submission that UNMIK was obliged to hand</w:t>
      </w:r>
      <w:r w:rsidR="000841CF" w:rsidRPr="001C21DC">
        <w:t xml:space="preserve"> </w:t>
      </w:r>
      <w:r w:rsidR="00C550D7" w:rsidRPr="001C21DC">
        <w:t>over all police files to EULEX in 2008 and that it may now seek permission from EULEX to access such records for archiving purposes</w:t>
      </w:r>
      <w:r w:rsidRPr="001C21DC">
        <w:t>. The SRSG states that</w:t>
      </w:r>
      <w:r w:rsidR="00C550D7" w:rsidRPr="001C21DC">
        <w:t xml:space="preserve"> “a failure by EULEX to transmit</w:t>
      </w:r>
      <w:r w:rsidR="008D5AE3" w:rsidRPr="001C21DC">
        <w:t xml:space="preserve"> a complete investigation file </w:t>
      </w:r>
      <w:r w:rsidR="00C550D7" w:rsidRPr="001C21DC">
        <w:t>cannot lead the HRAP to the irrebuttable presumption that UNMIK failed to carry out a proper investigation or that files were not accurately handed over by UNMIK to EULEX”.</w:t>
      </w:r>
    </w:p>
    <w:p w:rsidR="007300A8" w:rsidRPr="001C21DC" w:rsidRDefault="007300A8" w:rsidP="007300A8">
      <w:pPr>
        <w:pStyle w:val="ListParagraph"/>
      </w:pPr>
    </w:p>
    <w:p w:rsidR="008D5AE3" w:rsidRPr="001C21DC" w:rsidRDefault="007300A8" w:rsidP="008D5AE3">
      <w:pPr>
        <w:pStyle w:val="ListParagraph"/>
        <w:numPr>
          <w:ilvl w:val="0"/>
          <w:numId w:val="2"/>
        </w:numPr>
        <w:autoSpaceDE w:val="0"/>
        <w:jc w:val="both"/>
        <w:rPr>
          <w:lang w:val="en-GB"/>
        </w:rPr>
      </w:pPr>
      <w:r w:rsidRPr="001C21DC">
        <w:t>The Panel notes that the proper maintenance of investigative files concerning crimes such as killings and disappearances, from the opening of the investigations</w:t>
      </w:r>
      <w:r w:rsidR="000841CF" w:rsidRPr="001C21DC">
        <w:t xml:space="preserve"> until their completion, including the proper record of all hand overs which might have taken place, </w:t>
      </w:r>
      <w:r w:rsidRPr="001C21DC">
        <w:t xml:space="preserve">is crucial to the continuation of such investigations and failure to do so could thus raise </w:t>
      </w:r>
      <w:r w:rsidRPr="001C21DC">
        <w:rPr>
          <w:i/>
        </w:rPr>
        <w:t xml:space="preserve">per se </w:t>
      </w:r>
      <w:r w:rsidRPr="001C21DC">
        <w:t xml:space="preserve">issues under Article 2. </w:t>
      </w:r>
      <w:r w:rsidR="008D5AE3" w:rsidRPr="001C21DC">
        <w:rPr>
          <w:lang w:val="en-GB"/>
        </w:rPr>
        <w:t>In this respect, the Panel notes that the proper handover of criminal files should include at leas</w:t>
      </w:r>
      <w:r w:rsidR="000841CF" w:rsidRPr="001C21DC">
        <w:rPr>
          <w:lang w:val="en-GB"/>
        </w:rPr>
        <w:t xml:space="preserve">t an inventory and receipt </w:t>
      </w:r>
      <w:r w:rsidR="008D5AE3" w:rsidRPr="001C21DC">
        <w:rPr>
          <w:lang w:val="en-GB"/>
        </w:rPr>
        <w:t>of all transferred files, including for the purpose of maintaining the chain of cu</w:t>
      </w:r>
      <w:r w:rsidR="00CF536A" w:rsidRPr="001C21DC">
        <w:rPr>
          <w:lang w:val="en-GB"/>
        </w:rPr>
        <w:t xml:space="preserve">stody, a basic principle in </w:t>
      </w:r>
      <w:r w:rsidR="008D5AE3" w:rsidRPr="001C21DC">
        <w:rPr>
          <w:lang w:val="en-GB"/>
        </w:rPr>
        <w:t xml:space="preserve">criminal investigations. </w:t>
      </w:r>
    </w:p>
    <w:p w:rsidR="007300A8" w:rsidRPr="001C21DC" w:rsidRDefault="007300A8" w:rsidP="007300A8"/>
    <w:p w:rsidR="007300A8" w:rsidRPr="001C21DC" w:rsidRDefault="00463809" w:rsidP="00B7207C">
      <w:pPr>
        <w:pStyle w:val="ListParagraph"/>
        <w:numPr>
          <w:ilvl w:val="0"/>
          <w:numId w:val="2"/>
        </w:numPr>
        <w:autoSpaceDE w:val="0"/>
        <w:jc w:val="both"/>
        <w:rPr>
          <w:lang w:val="en-GB"/>
        </w:rPr>
      </w:pPr>
      <w:bookmarkStart w:id="24" w:name="_Ref391029550"/>
      <w:r w:rsidRPr="001C21DC">
        <w:t>As</w:t>
      </w:r>
      <w:r w:rsidR="00A560DF" w:rsidRPr="001C21DC">
        <w:t xml:space="preserve"> the SRSG doe</w:t>
      </w:r>
      <w:r w:rsidR="00B7207C" w:rsidRPr="001C21DC">
        <w:t>s not clarify which parts of th</w:t>
      </w:r>
      <w:r w:rsidR="008E7019" w:rsidRPr="001C21DC">
        <w:t>ese</w:t>
      </w:r>
      <w:r w:rsidRPr="001C21DC">
        <w:t xml:space="preserve"> file</w:t>
      </w:r>
      <w:r w:rsidR="008E7019" w:rsidRPr="001C21DC">
        <w:t>s</w:t>
      </w:r>
      <w:r w:rsidRPr="001C21DC">
        <w:t xml:space="preserve"> could be missing and why, the Panel considers that UNMIK is not in a position to verify the completeness of the former </w:t>
      </w:r>
      <w:r w:rsidR="00CF536A" w:rsidRPr="001C21DC">
        <w:t>UNMIK Police files as transmitted to UNMIK</w:t>
      </w:r>
      <w:r w:rsidRPr="001C21DC">
        <w:t xml:space="preserve"> by EULEX, the present custodian of the files.</w:t>
      </w:r>
      <w:bookmarkEnd w:id="24"/>
      <w:r w:rsidR="00B7207C" w:rsidRPr="001C21DC">
        <w:t xml:space="preserve"> In particular, the Panel notes that no inventory of files as they were handed over to EULEX was provided to it. The Panel deems it appropriate to draw inferences from this situation.  </w:t>
      </w:r>
    </w:p>
    <w:p w:rsidR="00474504" w:rsidRPr="001C21DC" w:rsidRDefault="00474504" w:rsidP="00474504">
      <w:pPr>
        <w:pStyle w:val="ListParagraph"/>
        <w:rPr>
          <w:lang w:val="en-GB"/>
        </w:rPr>
      </w:pPr>
    </w:p>
    <w:p w:rsidR="00474504" w:rsidRPr="001C21DC" w:rsidRDefault="00474504" w:rsidP="00474504">
      <w:pPr>
        <w:pStyle w:val="ListParagraph"/>
        <w:numPr>
          <w:ilvl w:val="0"/>
          <w:numId w:val="2"/>
        </w:numPr>
        <w:autoSpaceDE w:val="0"/>
        <w:jc w:val="both"/>
        <w:rPr>
          <w:lang w:val="en-GB"/>
        </w:rPr>
      </w:pPr>
      <w:r w:rsidRPr="001C21DC">
        <w:rPr>
          <w:lang w:val="en-GB"/>
        </w:rPr>
        <w:t>The Panel also recalls the SRSG’s position that since all police files had been transferred to EULEX and UNMIK ceased to be their custodian, it could no longer retain copies of classified and on-going police investigation files (see § 67 above).</w:t>
      </w:r>
    </w:p>
    <w:p w:rsidR="00474504" w:rsidRPr="001C21DC" w:rsidRDefault="00474504" w:rsidP="00474504">
      <w:pPr>
        <w:pStyle w:val="ListParagraph"/>
        <w:autoSpaceDE w:val="0"/>
        <w:ind w:left="360"/>
        <w:jc w:val="both"/>
        <w:rPr>
          <w:lang w:val="en-GB"/>
        </w:rPr>
      </w:pPr>
    </w:p>
    <w:p w:rsidR="00CF536A" w:rsidRPr="001C21DC" w:rsidRDefault="00474504" w:rsidP="00474504">
      <w:pPr>
        <w:pStyle w:val="ListParagraph"/>
        <w:numPr>
          <w:ilvl w:val="0"/>
          <w:numId w:val="2"/>
        </w:numPr>
        <w:autoSpaceDE w:val="0"/>
        <w:jc w:val="both"/>
        <w:rPr>
          <w:lang w:val="en-GB"/>
        </w:rPr>
      </w:pPr>
      <w:r w:rsidRPr="001C21DC">
        <w:rPr>
          <w:lang w:val="en-GB"/>
        </w:rPr>
        <w:t>In this respect, the Panel, first, notes that, in case the proper handover did take place, UNMIK should have been in position to relatively easy track down this file and at least obtain from it copies of relevant documents, for the Panel’s review. Second, in the Panel’s view the SRSG should have indicated to the Panel which legal provisions prohibited UNMIK from retaining the copies of the investigative documents created by UN staff members, under the authority vested in them by the UN Security Council. Moreover, contrary to the above SRSG’s assertion, UNMIK presented to the Panel investigative material concerning this case which was retrieved from the archives of the UN Headquarters in the US (see §§ 11, 12, 157 above).</w:t>
      </w:r>
    </w:p>
    <w:p w:rsidR="00474504" w:rsidRPr="001C21DC" w:rsidRDefault="00474504" w:rsidP="00474504">
      <w:pPr>
        <w:autoSpaceDE w:val="0"/>
        <w:jc w:val="both"/>
        <w:rPr>
          <w:lang w:val="en-GB"/>
        </w:rPr>
      </w:pPr>
    </w:p>
    <w:p w:rsidR="00AE78BA" w:rsidRPr="001C21DC" w:rsidRDefault="007300A8" w:rsidP="007300A8">
      <w:pPr>
        <w:pStyle w:val="ListParagraph"/>
        <w:numPr>
          <w:ilvl w:val="0"/>
          <w:numId w:val="2"/>
        </w:numPr>
        <w:autoSpaceDE w:val="0"/>
        <w:jc w:val="both"/>
        <w:rPr>
          <w:lang w:val="en-GB"/>
        </w:rPr>
      </w:pPr>
      <w:r w:rsidRPr="001C21DC">
        <w:rPr>
          <w:lang w:val="en-GB"/>
        </w:rPr>
        <w:t>Concerning the issue of access to the investigative files now in the custody of EULEX, t</w:t>
      </w:r>
      <w:r w:rsidR="00FE0B68" w:rsidRPr="001C21DC">
        <w:rPr>
          <w:lang w:val="en-GB"/>
        </w:rPr>
        <w:t>he Panel notes</w:t>
      </w:r>
      <w:r w:rsidR="00BF1354" w:rsidRPr="001C21DC">
        <w:rPr>
          <w:lang w:val="en-GB"/>
        </w:rPr>
        <w:t xml:space="preserve"> from the SRSG’s comments</w:t>
      </w:r>
      <w:r w:rsidR="00B7207C" w:rsidRPr="001C21DC">
        <w:rPr>
          <w:lang w:val="en-GB"/>
        </w:rPr>
        <w:t xml:space="preserve"> </w:t>
      </w:r>
      <w:r w:rsidR="00BF1354" w:rsidRPr="001C21DC">
        <w:rPr>
          <w:lang w:val="en-GB"/>
        </w:rPr>
        <w:t xml:space="preserve">that </w:t>
      </w:r>
      <w:r w:rsidR="00FE0B68" w:rsidRPr="001C21DC">
        <w:rPr>
          <w:lang w:val="en-GB"/>
        </w:rPr>
        <w:t>UNMIK investigative files were not</w:t>
      </w:r>
      <w:r w:rsidR="00BF1354" w:rsidRPr="001C21DC">
        <w:rPr>
          <w:lang w:val="en-GB"/>
        </w:rPr>
        <w:t xml:space="preserve">, </w:t>
      </w:r>
      <w:r w:rsidR="00B7207C" w:rsidRPr="001C21DC">
        <w:rPr>
          <w:lang w:val="en-GB"/>
        </w:rPr>
        <w:t xml:space="preserve">either </w:t>
      </w:r>
      <w:r w:rsidR="00BF1354" w:rsidRPr="001C21DC">
        <w:rPr>
          <w:lang w:val="en-GB"/>
        </w:rPr>
        <w:t>entirely or partially, archived</w:t>
      </w:r>
      <w:r w:rsidR="00FE0B68" w:rsidRPr="001C21DC">
        <w:rPr>
          <w:lang w:val="en-GB"/>
        </w:rPr>
        <w:t xml:space="preserve"> before their handover to EULEX</w:t>
      </w:r>
      <w:r w:rsidR="00271163" w:rsidRPr="001C21DC">
        <w:rPr>
          <w:lang w:val="en-GB"/>
        </w:rPr>
        <w:t xml:space="preserve"> and tha</w:t>
      </w:r>
      <w:r w:rsidR="00150015" w:rsidRPr="001C21DC">
        <w:rPr>
          <w:lang w:val="en-GB"/>
        </w:rPr>
        <w:t>t</w:t>
      </w:r>
      <w:r w:rsidR="00BF1354" w:rsidRPr="001C21DC">
        <w:rPr>
          <w:lang w:val="en-GB"/>
        </w:rPr>
        <w:t xml:space="preserve"> agreements were signed by EULEX and UNMIK in order to enable UNMIK to fulfil its archiving requirements. The Agreement of 12 December 2008 between UNMIK and EULEX </w:t>
      </w:r>
      <w:r w:rsidR="00BF1354" w:rsidRPr="001C21DC">
        <w:rPr>
          <w:i/>
          <w:lang w:val="en-GB"/>
        </w:rPr>
        <w:t>On the Transfer of Police Files, Archives and Other related Documents and Material</w:t>
      </w:r>
      <w:r w:rsidR="005542F9" w:rsidRPr="001C21DC">
        <w:rPr>
          <w:lang w:val="en-GB"/>
        </w:rPr>
        <w:t>,</w:t>
      </w:r>
      <w:r w:rsidR="00BF1354" w:rsidRPr="001C21DC">
        <w:rPr>
          <w:lang w:val="en-GB"/>
        </w:rPr>
        <w:t xml:space="preserve"> </w:t>
      </w:r>
      <w:r w:rsidR="00271163" w:rsidRPr="001C21DC">
        <w:rPr>
          <w:lang w:val="en-GB"/>
        </w:rPr>
        <w:t>at Article 7.6 and 8.6</w:t>
      </w:r>
      <w:r w:rsidR="00E30216" w:rsidRPr="001C21DC">
        <w:rPr>
          <w:lang w:val="en-GB"/>
        </w:rPr>
        <w:t>,</w:t>
      </w:r>
      <w:r w:rsidR="00271163" w:rsidRPr="001C21DC">
        <w:rPr>
          <w:lang w:val="en-GB"/>
        </w:rPr>
        <w:t xml:space="preserve"> concerning </w:t>
      </w:r>
      <w:r w:rsidR="005542F9" w:rsidRPr="001C21DC">
        <w:rPr>
          <w:lang w:val="en-GB"/>
        </w:rPr>
        <w:t xml:space="preserve">the </w:t>
      </w:r>
      <w:r w:rsidR="00271163" w:rsidRPr="001C21DC">
        <w:rPr>
          <w:lang w:val="en-GB"/>
        </w:rPr>
        <w:t>transfer of criminal cases and case files and war crimes cases and case files respectively</w:t>
      </w:r>
      <w:r w:rsidR="00E30216" w:rsidRPr="001C21DC">
        <w:rPr>
          <w:lang w:val="en-GB"/>
        </w:rPr>
        <w:t>, states that “</w:t>
      </w:r>
      <w:r w:rsidR="00271163" w:rsidRPr="001C21DC">
        <w:rPr>
          <w:lang w:val="en-GB"/>
        </w:rPr>
        <w:t>upon request by UNMIK</w:t>
      </w:r>
      <w:r w:rsidR="00E30216" w:rsidRPr="001C21DC">
        <w:rPr>
          <w:lang w:val="en-GB"/>
        </w:rPr>
        <w:t xml:space="preserve"> , EULEX “shall grant access” to the abovementioned files “for the purpose of enabling UNMIK to fulfil its archiving requirements in relation to </w:t>
      </w:r>
      <w:r w:rsidR="00E30216" w:rsidRPr="001C21DC">
        <w:rPr>
          <w:i/>
          <w:lang w:val="en-GB"/>
        </w:rPr>
        <w:t>all documents</w:t>
      </w:r>
      <w:r w:rsidR="00E30216" w:rsidRPr="001C21DC">
        <w:rPr>
          <w:lang w:val="en-GB"/>
        </w:rPr>
        <w:t xml:space="preserve"> </w:t>
      </w:r>
      <w:r w:rsidR="00E30216" w:rsidRPr="001C21DC">
        <w:rPr>
          <w:i/>
          <w:lang w:val="en-GB"/>
        </w:rPr>
        <w:t>and materials</w:t>
      </w:r>
      <w:r w:rsidR="00E30216" w:rsidRPr="001C21DC">
        <w:rPr>
          <w:lang w:val="en-GB"/>
        </w:rPr>
        <w:t xml:space="preserve"> </w:t>
      </w:r>
      <w:r w:rsidR="00E77990" w:rsidRPr="001C21DC">
        <w:rPr>
          <w:lang w:val="en-GB"/>
        </w:rPr>
        <w:t>[emphasis added] contained within such files and which are related to the investigations undertaken by UNMIK Police. The Parties shall determine modalities of such access … taking into account their respective operational requirements”.</w:t>
      </w:r>
      <w:r w:rsidR="0040628C" w:rsidRPr="001C21DC">
        <w:rPr>
          <w:lang w:val="en-GB"/>
        </w:rPr>
        <w:t xml:space="preserve"> </w:t>
      </w:r>
    </w:p>
    <w:p w:rsidR="00AE78BA" w:rsidRPr="001C21DC" w:rsidRDefault="00AE78BA" w:rsidP="00947B68">
      <w:pPr>
        <w:suppressAutoHyphens/>
        <w:jc w:val="both"/>
        <w:rPr>
          <w:lang w:val="en-GB"/>
        </w:rPr>
      </w:pPr>
    </w:p>
    <w:p w:rsidR="00947B68" w:rsidRPr="001C21DC" w:rsidRDefault="0040628C" w:rsidP="00947B68">
      <w:pPr>
        <w:numPr>
          <w:ilvl w:val="0"/>
          <w:numId w:val="2"/>
        </w:numPr>
        <w:suppressAutoHyphens/>
        <w:jc w:val="both"/>
      </w:pPr>
      <w:bookmarkStart w:id="25" w:name="_Ref373945461"/>
      <w:bookmarkStart w:id="26" w:name="_Ref391029568"/>
      <w:r w:rsidRPr="001C21DC">
        <w:t xml:space="preserve">The </w:t>
      </w:r>
      <w:r w:rsidRPr="001C21DC">
        <w:rPr>
          <w:lang w:val="en-GB"/>
        </w:rPr>
        <w:t>Panel has no reason to doubt that UNMIK undertook all efforts in order to obtain the relevant</w:t>
      </w:r>
      <w:r w:rsidRPr="001C21DC">
        <w:t xml:space="preserve"> investigative files.</w:t>
      </w:r>
      <w:bookmarkEnd w:id="23"/>
      <w:bookmarkEnd w:id="25"/>
      <w:r w:rsidR="00947B68" w:rsidRPr="001C21DC">
        <w:t xml:space="preserve"> Drawing inferences from the fact that</w:t>
      </w:r>
      <w:r w:rsidR="00B7207C" w:rsidRPr="001C21DC">
        <w:rPr>
          <w:lang w:val="en-GB"/>
        </w:rPr>
        <w:t xml:space="preserve"> the</w:t>
      </w:r>
      <w:r w:rsidR="00947B68" w:rsidRPr="001C21DC">
        <w:rPr>
          <w:lang w:val="en-GB"/>
        </w:rPr>
        <w:t xml:space="preserve"> agreements mentioned above entitle UNMIK to request full access to </w:t>
      </w:r>
      <w:r w:rsidR="00947B68" w:rsidRPr="001C21DC">
        <w:rPr>
          <w:i/>
          <w:lang w:val="en-GB"/>
        </w:rPr>
        <w:t>all</w:t>
      </w:r>
      <w:r w:rsidR="00947B68" w:rsidRPr="001C21DC">
        <w:rPr>
          <w:lang w:val="en-GB"/>
        </w:rPr>
        <w:t xml:space="preserve"> the investigative files previously held by the UNMIK Police and to determine jointly with EULEX the modalities of such access</w:t>
      </w:r>
      <w:r w:rsidR="00947B68" w:rsidRPr="001C21DC">
        <w:t xml:space="preserve">, the Panel assumes that documents provided </w:t>
      </w:r>
      <w:r w:rsidR="004E3789" w:rsidRPr="001C21DC">
        <w:t xml:space="preserve">to it </w:t>
      </w:r>
      <w:r w:rsidR="00947B68" w:rsidRPr="001C21DC">
        <w:t>have been selected so as to demonstrate to the maximum extent possible the effectiveness of the investigation in question.</w:t>
      </w:r>
      <w:bookmarkEnd w:id="26"/>
      <w:r w:rsidR="00947B68" w:rsidRPr="001C21DC">
        <w:t xml:space="preserve"> </w:t>
      </w:r>
    </w:p>
    <w:p w:rsidR="00947B68" w:rsidRPr="001C21DC" w:rsidRDefault="00947B68" w:rsidP="00474504">
      <w:pPr>
        <w:suppressAutoHyphens/>
        <w:jc w:val="both"/>
      </w:pPr>
    </w:p>
    <w:p w:rsidR="00CF45E9" w:rsidRPr="001C21DC" w:rsidRDefault="008E3F48" w:rsidP="00947B68">
      <w:pPr>
        <w:numPr>
          <w:ilvl w:val="0"/>
          <w:numId w:val="2"/>
        </w:numPr>
        <w:suppressAutoHyphens/>
        <w:jc w:val="both"/>
      </w:pPr>
      <w:r w:rsidRPr="001C21DC">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C21DC">
        <w:rPr>
          <w:i/>
          <w:lang w:val="en-GB"/>
        </w:rPr>
        <w:t>Tsechoyev v. Russia</w:t>
      </w:r>
      <w:r w:rsidRPr="001C21DC">
        <w:rPr>
          <w:lang w:val="en-GB"/>
        </w:rPr>
        <w:t>, no. 39358/05, judgment of</w:t>
      </w:r>
      <w:r w:rsidRPr="001C21DC">
        <w:rPr>
          <w:i/>
          <w:lang w:val="en-GB"/>
        </w:rPr>
        <w:t xml:space="preserve"> </w:t>
      </w:r>
      <w:r w:rsidRPr="001C21DC">
        <w:rPr>
          <w:lang w:val="en-GB"/>
        </w:rPr>
        <w:t xml:space="preserve">15 March 2011, § 146). </w:t>
      </w:r>
    </w:p>
    <w:p w:rsidR="00853B40" w:rsidRPr="001C21DC" w:rsidRDefault="00853B40" w:rsidP="00853B40">
      <w:pPr>
        <w:jc w:val="both"/>
        <w:rPr>
          <w:lang w:val="en-GB"/>
        </w:rPr>
      </w:pPr>
    </w:p>
    <w:p w:rsidR="001A6816" w:rsidRPr="001C21DC" w:rsidRDefault="001A6816" w:rsidP="003F48D3">
      <w:pPr>
        <w:pStyle w:val="ListParagraph"/>
        <w:numPr>
          <w:ilvl w:val="0"/>
          <w:numId w:val="7"/>
        </w:numPr>
        <w:contextualSpacing/>
        <w:jc w:val="both"/>
        <w:rPr>
          <w:i/>
          <w:color w:val="000000"/>
          <w:lang w:val="en-GB"/>
        </w:rPr>
      </w:pPr>
      <w:r w:rsidRPr="001C21DC">
        <w:rPr>
          <w:i/>
          <w:color w:val="000000"/>
          <w:lang w:val="en-GB" w:eastAsia="en-US"/>
        </w:rPr>
        <w:t>General</w:t>
      </w:r>
      <w:r w:rsidRPr="001C21DC">
        <w:rPr>
          <w:i/>
          <w:color w:val="000000"/>
          <w:lang w:val="en-GB"/>
        </w:rPr>
        <w:t xml:space="preserve"> principles concerning the obligation to conduct an effective investigation under Article 2</w:t>
      </w:r>
    </w:p>
    <w:p w:rsidR="001A6816" w:rsidRPr="001C21DC" w:rsidRDefault="001A6816" w:rsidP="001A6816">
      <w:pPr>
        <w:pStyle w:val="ListParagraph"/>
        <w:rPr>
          <w:lang w:val="en-GB"/>
        </w:rPr>
      </w:pPr>
    </w:p>
    <w:p w:rsidR="002676F9" w:rsidRPr="001C21DC" w:rsidRDefault="001A6816" w:rsidP="003D4ADE">
      <w:pPr>
        <w:pStyle w:val="ListParagraph"/>
        <w:numPr>
          <w:ilvl w:val="0"/>
          <w:numId w:val="2"/>
        </w:numPr>
        <w:tabs>
          <w:tab w:val="clear" w:pos="360"/>
          <w:tab w:val="num" w:pos="450"/>
        </w:tabs>
        <w:autoSpaceDE w:val="0"/>
        <w:ind w:left="450" w:hanging="450"/>
        <w:jc w:val="both"/>
        <w:rPr>
          <w:lang w:val="en-GB"/>
        </w:rPr>
      </w:pPr>
      <w:r w:rsidRPr="001C21DC">
        <w:rPr>
          <w:lang w:val="en-GB"/>
        </w:rPr>
        <w:t>The complainant</w:t>
      </w:r>
      <w:r w:rsidR="009045A8" w:rsidRPr="001C21DC">
        <w:rPr>
          <w:lang w:val="en-GB"/>
        </w:rPr>
        <w:t>s</w:t>
      </w:r>
      <w:r w:rsidR="00402699" w:rsidRPr="001C21DC">
        <w:rPr>
          <w:lang w:val="en-GB"/>
        </w:rPr>
        <w:t xml:space="preserve"> state</w:t>
      </w:r>
      <w:r w:rsidRPr="001C21DC">
        <w:rPr>
          <w:lang w:val="en-GB"/>
        </w:rPr>
        <w:t xml:space="preserve"> that UNMIK failed to conduct an effective investigation into the </w:t>
      </w:r>
      <w:r w:rsidR="002676F9" w:rsidRPr="001C21DC">
        <w:rPr>
          <w:lang w:val="en-GB"/>
        </w:rPr>
        <w:t>abduc</w:t>
      </w:r>
      <w:r w:rsidR="00474504" w:rsidRPr="001C21DC">
        <w:rPr>
          <w:lang w:val="en-GB"/>
        </w:rPr>
        <w:t>tion and probable killing of M.</w:t>
      </w:r>
      <w:r w:rsidR="002676F9" w:rsidRPr="001C21DC">
        <w:rPr>
          <w:lang w:val="en-GB"/>
        </w:rPr>
        <w:t>V</w:t>
      </w:r>
      <w:r w:rsidR="00474504" w:rsidRPr="001C21DC">
        <w:rPr>
          <w:lang w:val="en-GB"/>
        </w:rPr>
        <w:t>.</w:t>
      </w:r>
      <w:r w:rsidR="002676F9" w:rsidRPr="001C21DC">
        <w:rPr>
          <w:lang w:val="en-GB"/>
        </w:rPr>
        <w:t>, and the abduction and ki</w:t>
      </w:r>
      <w:r w:rsidR="00474504" w:rsidRPr="001C21DC">
        <w:rPr>
          <w:lang w:val="en-GB"/>
        </w:rPr>
        <w:t xml:space="preserve">lling of M.Đ. and </w:t>
      </w:r>
      <w:r w:rsidR="002676F9" w:rsidRPr="001C21DC">
        <w:rPr>
          <w:lang w:val="en-GB"/>
        </w:rPr>
        <w:t>D.S.</w:t>
      </w:r>
    </w:p>
    <w:p w:rsidR="008E3F48" w:rsidRPr="001C21DC" w:rsidRDefault="008E3F48" w:rsidP="002676F9">
      <w:pPr>
        <w:pStyle w:val="ListParagraph"/>
        <w:suppressAutoHyphens w:val="0"/>
        <w:autoSpaceDE w:val="0"/>
        <w:ind w:left="540"/>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27" w:name="_Ref366241114"/>
      <w:r w:rsidRPr="001C21DC">
        <w:rPr>
          <w:lang w:val="en-GB"/>
        </w:rPr>
        <w:t xml:space="preserve">The Panel notes that the positive obligation to investigate disappearances is widely accepted in international human rights law since at least the case of the Inter-American Court of Human Rights (IACtHR) </w:t>
      </w:r>
      <w:r w:rsidRPr="001C21DC">
        <w:rPr>
          <w:i/>
          <w:lang w:val="en-GB"/>
        </w:rPr>
        <w:t>Velásquez-Rodríguez</w:t>
      </w:r>
      <w:r w:rsidRPr="001C21DC">
        <w:rPr>
          <w:lang w:val="en-GB"/>
        </w:rPr>
        <w:t xml:space="preserve"> (see IACtHR, </w:t>
      </w:r>
      <w:r w:rsidRPr="001C21DC">
        <w:rPr>
          <w:i/>
          <w:lang w:val="en-GB"/>
        </w:rPr>
        <w:t>Velásquez-Rodríguez v. Honduras</w:t>
      </w:r>
      <w:r w:rsidRPr="001C21DC">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1C21DC">
        <w:rPr>
          <w:i/>
          <w:lang w:val="en-GB"/>
        </w:rPr>
        <w:t>Mohamed El Awani, v. Libyan Arab Jamahiriya</w:t>
      </w:r>
      <w:r w:rsidRPr="001C21DC">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7"/>
      <w:r w:rsidRPr="001C21DC">
        <w:rPr>
          <w:lang w:val="en-GB"/>
        </w:rPr>
        <w:t xml:space="preserve">   </w:t>
      </w:r>
      <w:bookmarkStart w:id="28" w:name="_Ref347561805"/>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29" w:name="_Ref366239860"/>
      <w:r w:rsidRPr="001C21DC">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w:t>
      </w:r>
      <w:r w:rsidRPr="001C21DC">
        <w:rPr>
          <w:lang w:val="en-GB" w:eastAsia="en-US"/>
        </w:rPr>
        <w:t>Article</w:t>
      </w:r>
      <w:r w:rsidRPr="001C21DC">
        <w:rPr>
          <w:lang w:val="en-GB"/>
        </w:rPr>
        <w:t xml:space="preserv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C21DC">
        <w:rPr>
          <w:i/>
          <w:lang w:val="en-GB"/>
        </w:rPr>
        <w:t>mutatis mutandis</w:t>
      </w:r>
      <w:r w:rsidRPr="001C21DC">
        <w:rPr>
          <w:lang w:val="en-GB"/>
        </w:rPr>
        <w:t xml:space="preserve">, ECtHR, </w:t>
      </w:r>
      <w:r w:rsidRPr="001C21DC">
        <w:rPr>
          <w:i/>
          <w:lang w:val="en-GB"/>
        </w:rPr>
        <w:t>McCann and Others v. the United Kingdom</w:t>
      </w:r>
      <w:r w:rsidRPr="001C21DC">
        <w:rPr>
          <w:lang w:val="en-GB"/>
        </w:rPr>
        <w:t xml:space="preserve">, judgment of 27 September 1995, § 161, Series A no. 324; and ECtHR, </w:t>
      </w:r>
      <w:r w:rsidRPr="001C21DC">
        <w:rPr>
          <w:i/>
          <w:lang w:val="en-GB"/>
        </w:rPr>
        <w:t>Kaya v. Turkey</w:t>
      </w:r>
      <w:r w:rsidRPr="001C21DC">
        <w:rPr>
          <w:lang w:val="en-GB"/>
        </w:rPr>
        <w:t xml:space="preserve">, judgment of 19 February 1998, § </w:t>
      </w:r>
      <w:r w:rsidR="002C656A" w:rsidRPr="001C21DC">
        <w:rPr>
          <w:lang w:val="en-GB"/>
        </w:rPr>
        <w:t>86</w:t>
      </w:r>
      <w:r w:rsidRPr="001C21DC">
        <w:rPr>
          <w:lang w:val="en-GB"/>
        </w:rPr>
        <w:t xml:space="preserve">, Reports 1998-I; see also ECtHR, </w:t>
      </w:r>
      <w:r w:rsidRPr="001C21DC">
        <w:rPr>
          <w:i/>
          <w:lang w:val="en-GB"/>
        </w:rPr>
        <w:t>Jasinskis v. Latvia</w:t>
      </w:r>
      <w:r w:rsidRPr="001C21DC">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C21DC">
        <w:rPr>
          <w:i/>
          <w:lang w:val="en-GB"/>
        </w:rPr>
        <w:t>Kolevi v. Bulgaria</w:t>
      </w:r>
      <w:r w:rsidRPr="001C21DC">
        <w:rPr>
          <w:lang w:val="en-GB"/>
        </w:rPr>
        <w:t>, no. 1108/02, judgment of 5 November 2009, § 191).</w:t>
      </w:r>
      <w:bookmarkEnd w:id="28"/>
      <w:bookmarkEnd w:id="29"/>
    </w:p>
    <w:p w:rsidR="002C656A" w:rsidRPr="001C21DC" w:rsidRDefault="002C656A"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r w:rsidRPr="001C21DC">
        <w:rPr>
          <w:lang w:val="en-GB"/>
        </w:rPr>
        <w:t xml:space="preserve">The European Court has also stated that the procedural obligation to provide some form of effective official investigation exists also when an individual has gone missing in life-threatening </w:t>
      </w:r>
      <w:r w:rsidRPr="001C21DC">
        <w:rPr>
          <w:lang w:val="en-GB" w:eastAsia="en-US"/>
        </w:rPr>
        <w:t>circumstances</w:t>
      </w:r>
      <w:r w:rsidRPr="001C21DC">
        <w:rPr>
          <w:lang w:val="en-GB"/>
        </w:rPr>
        <w:t xml:space="preserve"> and is not confined to cases where it is apparent that the disappearance was caused by an agent of the State (see ECtHR [GC], </w:t>
      </w:r>
      <w:r w:rsidRPr="001C21DC">
        <w:rPr>
          <w:i/>
          <w:lang w:val="en-GB"/>
        </w:rPr>
        <w:t>Varnava and Others v. Turkey</w:t>
      </w:r>
      <w:r w:rsidRPr="001C21DC">
        <w:rPr>
          <w:lang w:val="en-GB"/>
        </w:rPr>
        <w:t xml:space="preserve">, cited in § </w:t>
      </w:r>
      <w:r w:rsidR="00474504" w:rsidRPr="001C21DC">
        <w:t>65</w:t>
      </w:r>
      <w:r w:rsidR="003E64E0" w:rsidRPr="001C21DC">
        <w:rPr>
          <w:lang w:val="en-GB"/>
        </w:rPr>
        <w:t xml:space="preserve"> </w:t>
      </w:r>
      <w:r w:rsidRPr="001C21DC">
        <w:rPr>
          <w:lang w:val="en-GB"/>
        </w:rPr>
        <w:t>above, at § 136).</w:t>
      </w:r>
    </w:p>
    <w:p w:rsidR="008E3F48" w:rsidRPr="001C21DC" w:rsidRDefault="008E3F48"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0" w:name="_Ref366240125"/>
      <w:r w:rsidRPr="001C21DC">
        <w:rPr>
          <w:lang w:val="en-GB"/>
        </w:rPr>
        <w:t xml:space="preserve">The authorities must act of their own motion once the matter has come to their attention, and </w:t>
      </w:r>
      <w:r w:rsidRPr="001C21DC">
        <w:rPr>
          <w:lang w:val="en-GB" w:eastAsia="en-US"/>
        </w:rPr>
        <w:t>they</w:t>
      </w:r>
      <w:r w:rsidRPr="001C21DC">
        <w:rPr>
          <w:lang w:val="en-GB"/>
        </w:rPr>
        <w:t xml:space="preserve"> cannot leave it to the initiative of the next-of-kin either to lodge a formal complaint or to take responsibility for the conduct of any investigative procedure (see ECtHR, </w:t>
      </w:r>
      <w:r w:rsidRPr="001C21DC">
        <w:rPr>
          <w:i/>
          <w:lang w:val="en-GB"/>
        </w:rPr>
        <w:t>Ahmet Özkan and Others v. Turkey</w:t>
      </w:r>
      <w:r w:rsidRPr="001C21DC">
        <w:rPr>
          <w:lang w:val="en-GB"/>
        </w:rPr>
        <w:t xml:space="preserve">, no. 21689/93, judgment of 6 April 2004, § 310, see also ECtHR, </w:t>
      </w:r>
      <w:r w:rsidRPr="001C21DC">
        <w:rPr>
          <w:i/>
          <w:lang w:val="en-GB"/>
        </w:rPr>
        <w:t>Isayeva v. Russia</w:t>
      </w:r>
      <w:r w:rsidRPr="001C21DC">
        <w:rPr>
          <w:lang w:val="en-GB"/>
        </w:rPr>
        <w:t>, no. 57950/00, judgment of 24 February 2005, § 210).</w:t>
      </w:r>
      <w:bookmarkEnd w:id="30"/>
      <w:r w:rsidRPr="001C21DC">
        <w:rPr>
          <w:lang w:val="en-GB"/>
        </w:rPr>
        <w:t xml:space="preserve"> </w:t>
      </w:r>
      <w:bookmarkStart w:id="31" w:name="_Ref346724174"/>
    </w:p>
    <w:p w:rsidR="008E3F48" w:rsidRPr="001C21DC" w:rsidRDefault="008E3F48" w:rsidP="00FA6A25">
      <w:pPr>
        <w:pStyle w:val="ListParagraph"/>
        <w:tabs>
          <w:tab w:val="num" w:pos="567"/>
        </w:tabs>
        <w:ind w:left="567" w:hanging="425"/>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2" w:name="_Ref366239979"/>
      <w:r w:rsidRPr="001C21DC">
        <w:rPr>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 </w:t>
      </w:r>
      <w:r w:rsidRPr="001C21DC">
        <w:rPr>
          <w:i/>
          <w:lang w:val="en-GB"/>
        </w:rPr>
        <w:t xml:space="preserve">Varnava and Others v. </w:t>
      </w:r>
      <w:r w:rsidRPr="001C21DC">
        <w:rPr>
          <w:lang w:val="en-GB" w:eastAsia="en-US"/>
        </w:rPr>
        <w:t>Turkey</w:t>
      </w:r>
      <w:r w:rsidRPr="001C21DC">
        <w:rPr>
          <w:lang w:val="en-GB"/>
        </w:rPr>
        <w:t xml:space="preserve">, cited </w:t>
      </w:r>
      <w:r w:rsidR="003E64E0" w:rsidRPr="001C21DC">
        <w:rPr>
          <w:lang w:val="en-GB"/>
        </w:rPr>
        <w:t xml:space="preserve">in in § </w:t>
      </w:r>
      <w:r w:rsidR="00474504" w:rsidRPr="001C21DC">
        <w:t>65</w:t>
      </w:r>
      <w:r w:rsidR="003E64E0" w:rsidRPr="001C21DC">
        <w:rPr>
          <w:lang w:val="en-GB"/>
        </w:rPr>
        <w:t xml:space="preserve"> </w:t>
      </w:r>
      <w:r w:rsidRPr="001C21DC">
        <w:rPr>
          <w:lang w:val="en-GB"/>
        </w:rPr>
        <w:t>above</w:t>
      </w:r>
      <w:r w:rsidR="003E64E0" w:rsidRPr="001C21DC">
        <w:rPr>
          <w:lang w:val="en-GB"/>
        </w:rPr>
        <w:t xml:space="preserve">, at </w:t>
      </w:r>
      <w:r w:rsidRPr="001C21DC">
        <w:rPr>
          <w:lang w:val="en-GB"/>
        </w:rPr>
        <w:t xml:space="preserve">§ 191; see also ECtHR, </w:t>
      </w:r>
      <w:r w:rsidRPr="001C21DC">
        <w:rPr>
          <w:i/>
          <w:lang w:val="en-GB"/>
        </w:rPr>
        <w:t>Palić v. Bosnia and Herzegovina</w:t>
      </w:r>
      <w:r w:rsidRPr="001C21D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1C21DC">
        <w:rPr>
          <w:i/>
          <w:lang w:val="en-GB"/>
        </w:rPr>
        <w:t>Ahmet Özkan and Others v. Turkey</w:t>
      </w:r>
      <w:r w:rsidRPr="001C21DC">
        <w:rPr>
          <w:lang w:val="en-GB"/>
        </w:rPr>
        <w:t xml:space="preserve">, cited above, at § 312, and </w:t>
      </w:r>
      <w:r w:rsidR="003E64E0" w:rsidRPr="001C21DC">
        <w:rPr>
          <w:lang w:val="en-GB"/>
        </w:rPr>
        <w:t>ECtHR,</w:t>
      </w:r>
      <w:r w:rsidR="003E64E0" w:rsidRPr="001C21DC">
        <w:rPr>
          <w:i/>
          <w:lang w:val="en-GB"/>
        </w:rPr>
        <w:t xml:space="preserve"> </w:t>
      </w:r>
      <w:r w:rsidRPr="001C21DC">
        <w:rPr>
          <w:i/>
          <w:lang w:val="en-GB"/>
        </w:rPr>
        <w:t>Isayeva v. Russia</w:t>
      </w:r>
      <w:r w:rsidRPr="001C21DC">
        <w:rPr>
          <w:lang w:val="en-GB"/>
        </w:rPr>
        <w:t>, cited above, at § 212).</w:t>
      </w:r>
      <w:bookmarkEnd w:id="31"/>
      <w:bookmarkEnd w:id="32"/>
      <w:r w:rsidRPr="001C21DC">
        <w:rPr>
          <w:lang w:val="en-GB"/>
        </w:rPr>
        <w:t xml:space="preserve"> </w:t>
      </w:r>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3" w:name="_Ref390962153"/>
      <w:r w:rsidRPr="001C21DC">
        <w:rPr>
          <w:lang w:val="en-GB" w:eastAsia="en-US"/>
        </w:rPr>
        <w:t xml:space="preserve">In </w:t>
      </w:r>
      <w:r w:rsidRPr="001C21DC">
        <w:rPr>
          <w:lang w:val="en-GB"/>
        </w:rPr>
        <w:t>particular</w:t>
      </w:r>
      <w:r w:rsidRPr="001C21DC">
        <w:rPr>
          <w:lang w:val="en-GB" w:eastAsia="en-US"/>
        </w:rPr>
        <w:t xml:space="preserve">,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C21DC">
        <w:rPr>
          <w:i/>
          <w:lang w:val="en-GB" w:eastAsia="en-US"/>
        </w:rPr>
        <w:t>Kolevi v. Bulgaria</w:t>
      </w:r>
      <w:r w:rsidRPr="001C21DC">
        <w:rPr>
          <w:lang w:val="en-GB" w:eastAsia="en-US"/>
        </w:rPr>
        <w:t>, cited</w:t>
      </w:r>
      <w:r w:rsidR="003E64E0" w:rsidRPr="001C21DC">
        <w:rPr>
          <w:lang w:val="en-GB" w:eastAsia="en-US"/>
        </w:rPr>
        <w:t xml:space="preserve"> in</w:t>
      </w:r>
      <w:r w:rsidRPr="001C21DC">
        <w:rPr>
          <w:lang w:val="en-GB" w:eastAsia="en-US"/>
        </w:rPr>
        <w:t xml:space="preserve"> §</w:t>
      </w:r>
      <w:r w:rsidR="00474504" w:rsidRPr="001C21DC">
        <w:t xml:space="preserve"> 102</w:t>
      </w:r>
      <w:r w:rsidRPr="001C21DC">
        <w:rPr>
          <w:lang w:val="en-GB" w:eastAsia="en-US"/>
        </w:rPr>
        <w:t xml:space="preserve">, </w:t>
      </w:r>
      <w:r w:rsidR="003E64E0" w:rsidRPr="001C21DC">
        <w:rPr>
          <w:lang w:val="en-GB" w:eastAsia="en-US"/>
        </w:rPr>
        <w:t xml:space="preserve">at </w:t>
      </w:r>
      <w:r w:rsidRPr="001C21DC">
        <w:rPr>
          <w:lang w:val="en-GB" w:eastAsia="en-US"/>
        </w:rPr>
        <w:t xml:space="preserve">§ 201). Nevertheless, the nature and degree of scrutiny which satisfy the minimum threshold of the </w:t>
      </w:r>
      <w:r w:rsidRPr="001C21DC">
        <w:rPr>
          <w:lang w:val="en-GB"/>
        </w:rPr>
        <w:t>investigation’s</w:t>
      </w:r>
      <w:r w:rsidRPr="001C21DC">
        <w:rPr>
          <w:lang w:val="en-GB" w:eastAsia="en-US"/>
        </w:rPr>
        <w:t xml:space="preserve"> effectiveness depend on the circumstances of the particular case. They must be assessed on the basis of all relevant facts and with regard to the practical realities of the investigative work (see ECtHR, </w:t>
      </w:r>
      <w:r w:rsidRPr="001C21DC">
        <w:rPr>
          <w:i/>
          <w:lang w:val="en-GB" w:eastAsia="en-US"/>
        </w:rPr>
        <w:t>Velcea and Maz</w:t>
      </w:r>
      <w:r w:rsidRPr="001C21DC">
        <w:rPr>
          <w:i/>
          <w:lang w:val="en-GB"/>
        </w:rPr>
        <w:t>ăre</w:t>
      </w:r>
      <w:r w:rsidRPr="001C21DC">
        <w:rPr>
          <w:lang w:val="en-GB"/>
        </w:rPr>
        <w:t xml:space="preserve"> </w:t>
      </w:r>
      <w:r w:rsidRPr="001C21DC">
        <w:rPr>
          <w:i/>
          <w:lang w:val="en-GB"/>
        </w:rPr>
        <w:t>v. Romania</w:t>
      </w:r>
      <w:r w:rsidRPr="001C21DC">
        <w:rPr>
          <w:lang w:val="en-GB"/>
        </w:rPr>
        <w:t>, no. 64301/01, judgment of 1 December 2009, § 105).</w:t>
      </w:r>
      <w:bookmarkEnd w:id="33"/>
      <w:r w:rsidRPr="001C21DC">
        <w:rPr>
          <w:lang w:val="en-GB"/>
        </w:rPr>
        <w:t xml:space="preserve"> </w:t>
      </w:r>
    </w:p>
    <w:p w:rsidR="008E3F48" w:rsidRPr="001C21DC" w:rsidRDefault="008E3F48" w:rsidP="00FA6A25">
      <w:pPr>
        <w:tabs>
          <w:tab w:val="num" w:pos="567"/>
        </w:tabs>
        <w:ind w:left="567" w:hanging="425"/>
        <w:contextualSpacing/>
        <w:jc w:val="both"/>
        <w:rPr>
          <w:color w:val="000000"/>
          <w:lang w:val="en-GB"/>
        </w:rPr>
      </w:pPr>
    </w:p>
    <w:p w:rsidR="008E3F48" w:rsidRPr="001C21DC" w:rsidRDefault="00741C36"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4" w:name="_Ref390962155"/>
      <w:r w:rsidRPr="001C21DC">
        <w:rPr>
          <w:lang w:val="en-GB"/>
        </w:rPr>
        <w:t>Even with regard to persons disappeared and later found dead,</w:t>
      </w:r>
      <w:r w:rsidR="008E3F48" w:rsidRPr="001C21DC">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8E3F48" w:rsidRPr="001C21DC">
        <w:rPr>
          <w:i/>
          <w:lang w:val="en-GB"/>
        </w:rPr>
        <w:t>Palić v. Bosnia and Herzegovina</w:t>
      </w:r>
      <w:r w:rsidR="008E3F48" w:rsidRPr="001C21DC">
        <w:rPr>
          <w:lang w:val="en-GB"/>
        </w:rPr>
        <w:t xml:space="preserve">, cited in § </w:t>
      </w:r>
      <w:r w:rsidR="00474504" w:rsidRPr="001C21DC">
        <w:t>105</w:t>
      </w:r>
      <w:r w:rsidR="008E3F48" w:rsidRPr="001C21DC">
        <w:rPr>
          <w:lang w:val="en-GB"/>
        </w:rPr>
        <w:t xml:space="preserve"> above, at § 46; in the same sense ECtHR [GC], </w:t>
      </w:r>
      <w:r w:rsidR="008E3F48" w:rsidRPr="001C21DC">
        <w:rPr>
          <w:i/>
          <w:lang w:val="en-GB"/>
        </w:rPr>
        <w:t>Varnava and Others v. Turkey</w:t>
      </w:r>
      <w:r w:rsidR="008E3F48" w:rsidRPr="001C21DC">
        <w:rPr>
          <w:lang w:val="en-GB"/>
        </w:rPr>
        <w:t xml:space="preserve">, cited in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8E3F48" w:rsidRPr="001C21DC">
        <w:rPr>
          <w:lang w:val="en-GB"/>
        </w:rPr>
        <w:t xml:space="preserve"> above, at § 148, </w:t>
      </w:r>
      <w:r w:rsidR="008E3F48" w:rsidRPr="001C21DC">
        <w:rPr>
          <w:i/>
          <w:lang w:val="en-GB"/>
        </w:rPr>
        <w:t>Aslakhanova and Others v. Russia</w:t>
      </w:r>
      <w:r w:rsidR="008E3F48" w:rsidRPr="001C21DC">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8E3F48" w:rsidRPr="001C21DC">
        <w:rPr>
          <w:i/>
          <w:lang w:val="en-GB"/>
        </w:rPr>
        <w:t>Palić v. Bosnia and Herzegovina</w:t>
      </w:r>
      <w:r w:rsidR="008E3F48" w:rsidRPr="001C21DC">
        <w:rPr>
          <w:lang w:val="en-GB"/>
        </w:rPr>
        <w:t xml:space="preserve">, cited above; in the same sense ECtHR [GC], </w:t>
      </w:r>
      <w:r w:rsidR="008E3F48" w:rsidRPr="001C21DC">
        <w:rPr>
          <w:i/>
          <w:lang w:val="en-GB"/>
        </w:rPr>
        <w:t>Varnava and Others v. Turkey</w:t>
      </w:r>
      <w:r w:rsidR="008E3F48" w:rsidRPr="001C21DC">
        <w:rPr>
          <w:lang w:val="en-GB"/>
        </w:rPr>
        <w:t xml:space="preserve">, cited in § </w:t>
      </w:r>
      <w:r w:rsidR="00474504" w:rsidRPr="001C21DC">
        <w:t>65</w:t>
      </w:r>
      <w:r w:rsidR="008E3F48" w:rsidRPr="001C21DC">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008E3F48" w:rsidRPr="001C21DC">
        <w:rPr>
          <w:i/>
          <w:lang w:val="en-GB"/>
        </w:rPr>
        <w:t>Palić v. Bosnia and Herzegovina</w:t>
      </w:r>
      <w:r w:rsidR="008E3F48" w:rsidRPr="001C21DC">
        <w:rPr>
          <w:lang w:val="en-GB"/>
        </w:rPr>
        <w:t>, cited above).</w:t>
      </w:r>
      <w:bookmarkStart w:id="35" w:name="_Ref347937166"/>
      <w:bookmarkEnd w:id="34"/>
    </w:p>
    <w:p w:rsidR="008E3F48" w:rsidRPr="001C21DC" w:rsidRDefault="008E3F48" w:rsidP="008E3F48">
      <w:pPr>
        <w:pStyle w:val="ListParagraph"/>
        <w:suppressAutoHyphens w:val="0"/>
        <w:ind w:left="360"/>
        <w:contextualSpacing/>
        <w:jc w:val="both"/>
        <w:rPr>
          <w:color w:val="000000"/>
          <w:lang w:val="en-GB" w:eastAsia="en-US"/>
        </w:rPr>
      </w:pPr>
    </w:p>
    <w:p w:rsidR="001A6816"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6" w:name="_Ref366240205"/>
      <w:r w:rsidRPr="001C21D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1C21DC">
        <w:rPr>
          <w:i/>
          <w:lang w:val="en-GB" w:eastAsia="en-US"/>
        </w:rPr>
        <w:t>Ahmet Özkan and Others v. Turkey</w:t>
      </w:r>
      <w:r w:rsidRPr="001C21DC">
        <w:rPr>
          <w:lang w:val="en-GB" w:eastAsia="en-US"/>
        </w:rPr>
        <w:t xml:space="preserve">, 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w:t>
      </w:r>
      <w:r w:rsidRPr="001C21DC">
        <w:rPr>
          <w:lang w:val="en-GB" w:eastAsia="en-US"/>
        </w:rPr>
        <w:t>above, at §§ 311</w:t>
      </w:r>
      <w:r w:rsidRPr="001C21DC">
        <w:rPr>
          <w:lang w:val="en-GB" w:eastAsia="en-US"/>
        </w:rPr>
        <w:noBreakHyphen/>
        <w:t>314;</w:t>
      </w:r>
      <w:r w:rsidRPr="001C21DC">
        <w:rPr>
          <w:lang w:val="en-GB"/>
        </w:rPr>
        <w:t xml:space="preserve"> </w:t>
      </w:r>
      <w:r w:rsidRPr="001C21DC">
        <w:rPr>
          <w:i/>
          <w:lang w:val="en-GB"/>
        </w:rPr>
        <w:t>Isayeva v. Russia</w:t>
      </w:r>
      <w:r w:rsidRPr="001C21DC">
        <w:rPr>
          <w:lang w:val="en-GB"/>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00CF7241" w:rsidRPr="001C21DC">
        <w:rPr>
          <w:lang w:val="en-GB"/>
        </w:rPr>
        <w:t xml:space="preserve">, </w:t>
      </w:r>
      <w:r w:rsidRPr="001C21DC">
        <w:rPr>
          <w:lang w:val="en-GB"/>
        </w:rPr>
        <w:t xml:space="preserve">§§ 211-214 and the cases cited therein).” </w:t>
      </w:r>
      <w:r w:rsidRPr="001C21DC">
        <w:rPr>
          <w:lang w:val="en-GB" w:eastAsia="en-US"/>
        </w:rPr>
        <w:t xml:space="preserve">ECtHR [GC], </w:t>
      </w:r>
      <w:r w:rsidRPr="001C21DC">
        <w:rPr>
          <w:i/>
          <w:lang w:val="en-GB" w:eastAsia="en-US"/>
        </w:rPr>
        <w:t>Al-Skeini and Others v. United Kingdom</w:t>
      </w:r>
      <w:r w:rsidRPr="001C21DC">
        <w:rPr>
          <w:lang w:val="en-GB" w:eastAsia="en-US"/>
        </w:rPr>
        <w:t xml:space="preserve">, no. 55721/07, judgment of 7 July 2011, § 167, </w:t>
      </w:r>
      <w:r w:rsidRPr="001C21DC">
        <w:rPr>
          <w:lang w:val="en-GB"/>
        </w:rPr>
        <w:t>ECHR 2011</w:t>
      </w:r>
      <w:r w:rsidRPr="001C21DC">
        <w:rPr>
          <w:lang w:val="en-GB" w:eastAsia="en-US"/>
        </w:rPr>
        <w:t>).</w:t>
      </w:r>
      <w:bookmarkEnd w:id="35"/>
      <w:bookmarkEnd w:id="36"/>
    </w:p>
    <w:p w:rsidR="002132AA" w:rsidRPr="001C21DC" w:rsidRDefault="002132AA" w:rsidP="002132AA">
      <w:pPr>
        <w:pStyle w:val="ListParagraph"/>
        <w:rPr>
          <w:color w:val="000000"/>
          <w:lang w:val="en-GB" w:eastAsia="en-US"/>
        </w:rPr>
      </w:pPr>
    </w:p>
    <w:p w:rsidR="002676F9" w:rsidRPr="001C21DC" w:rsidRDefault="002132AA"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1C21DC">
        <w:rPr>
          <w:i/>
          <w:lang w:val="en-GB"/>
        </w:rPr>
        <w:t>El-Masri  v. The Former Yugoslav Republic of Macedonia</w:t>
      </w:r>
      <w:r w:rsidRPr="001C21DC">
        <w:rPr>
          <w:lang w:val="en-GB"/>
        </w:rPr>
        <w:t xml:space="preserve">, no. 39630/09, judgment of 13 December 2012, § 191). </w:t>
      </w:r>
      <w:r w:rsidRPr="001C21DC">
        <w:rPr>
          <w:color w:val="000000"/>
        </w:rPr>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1C21DC">
        <w:rPr>
          <w:color w:val="000000" w:themeColor="text1"/>
        </w:rPr>
        <w:t xml:space="preserve">UN Document </w:t>
      </w:r>
      <w:r w:rsidRPr="001C21DC">
        <w:rPr>
          <w:color w:val="000000"/>
        </w:rPr>
        <w:t xml:space="preserve">A/67/267, 8 August 2012, § 5; see also UN Human Rights Council, Resolutions 9/11 and 12/12: Right to the Truth, 24 September 2008 and 12 October 2009; see </w:t>
      </w:r>
      <w:r w:rsidRPr="001C21DC">
        <w:rPr>
          <w:color w:val="000000" w:themeColor="text1"/>
        </w:rPr>
        <w:t>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bookmarkStart w:id="37" w:name="_Ref366163783"/>
    </w:p>
    <w:p w:rsidR="002676F9" w:rsidRPr="001C21DC" w:rsidRDefault="002676F9" w:rsidP="002676F9">
      <w:pPr>
        <w:pStyle w:val="ListParagraph"/>
        <w:autoSpaceDE w:val="0"/>
        <w:ind w:left="450"/>
        <w:jc w:val="both"/>
        <w:rPr>
          <w:color w:val="000000"/>
          <w:lang w:val="en-GB" w:eastAsia="en-US"/>
        </w:rPr>
      </w:pPr>
    </w:p>
    <w:p w:rsidR="002676F9" w:rsidRPr="001C21DC" w:rsidRDefault="002676F9" w:rsidP="002676F9">
      <w:pPr>
        <w:pStyle w:val="ListParagraph"/>
        <w:numPr>
          <w:ilvl w:val="0"/>
          <w:numId w:val="7"/>
        </w:numPr>
        <w:contextualSpacing/>
        <w:jc w:val="both"/>
        <w:rPr>
          <w:i/>
          <w:color w:val="000000"/>
          <w:lang w:val="en-GB" w:eastAsia="en-US"/>
        </w:rPr>
      </w:pPr>
      <w:r w:rsidRPr="001C21DC">
        <w:rPr>
          <w:i/>
          <w:color w:val="000000"/>
          <w:lang w:val="en-GB"/>
        </w:rPr>
        <w:t>Applicability</w:t>
      </w:r>
      <w:r w:rsidRPr="001C21DC">
        <w:rPr>
          <w:i/>
          <w:color w:val="000000"/>
          <w:lang w:val="en-GB" w:eastAsia="en-US"/>
        </w:rPr>
        <w:t xml:space="preserve"> of Article 2 to the Kosovo context</w:t>
      </w:r>
    </w:p>
    <w:p w:rsidR="002676F9" w:rsidRPr="001C21DC" w:rsidRDefault="002676F9" w:rsidP="002676F9">
      <w:pPr>
        <w:pStyle w:val="ListParagraph"/>
        <w:autoSpaceDE w:val="0"/>
        <w:ind w:left="450"/>
        <w:jc w:val="both"/>
        <w:rPr>
          <w:color w:val="000000"/>
          <w:lang w:val="en-GB" w:eastAsia="en-US"/>
        </w:rPr>
      </w:pPr>
    </w:p>
    <w:p w:rsidR="002676F9" w:rsidRPr="001C21DC" w:rsidRDefault="001A6816"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is </w:t>
      </w:r>
      <w:r w:rsidRPr="001C21DC">
        <w:rPr>
          <w:lang w:val="en-GB"/>
        </w:rPr>
        <w:t>conscious</w:t>
      </w:r>
      <w:r w:rsidRPr="001C21DC">
        <w:rPr>
          <w:color w:val="000000"/>
          <w:lang w:val="en-GB" w:eastAsia="en-US"/>
        </w:rPr>
        <w:t xml:space="preserve"> that the </w:t>
      </w:r>
      <w:r w:rsidR="002676F9" w:rsidRPr="001C21DC">
        <w:rPr>
          <w:bCs/>
          <w:lang w:val="en-GB"/>
        </w:rPr>
        <w:t>abduc</w:t>
      </w:r>
      <w:r w:rsidR="00474504" w:rsidRPr="001C21DC">
        <w:rPr>
          <w:bCs/>
          <w:lang w:val="en-GB"/>
        </w:rPr>
        <w:t>tion and probable killing of M.V.</w:t>
      </w:r>
      <w:r w:rsidR="002676F9" w:rsidRPr="001C21DC">
        <w:rPr>
          <w:bCs/>
          <w:lang w:val="en-GB"/>
        </w:rPr>
        <w:t>, and the abd</w:t>
      </w:r>
      <w:r w:rsidR="00474504" w:rsidRPr="001C21DC">
        <w:rPr>
          <w:bCs/>
          <w:lang w:val="en-GB"/>
        </w:rPr>
        <w:t xml:space="preserve">uction and killing of M.Đ. and </w:t>
      </w:r>
      <w:r w:rsidR="002676F9" w:rsidRPr="001C21DC">
        <w:rPr>
          <w:bCs/>
          <w:lang w:val="en-GB"/>
        </w:rPr>
        <w:t>D.S.</w:t>
      </w:r>
      <w:r w:rsidR="002676F9" w:rsidRPr="001C21DC">
        <w:rPr>
          <w:lang w:val="en-GB"/>
        </w:rPr>
        <w:t xml:space="preserve"> </w:t>
      </w:r>
      <w:r w:rsidRPr="001C21DC">
        <w:rPr>
          <w:lang w:val="en-GB"/>
        </w:rPr>
        <w:t>occurred shortly after the deployment of UNMIK in Kosovo in the immediate aftermath of the armed conflict, when crime, violence and insecurity were rife.</w:t>
      </w:r>
      <w:bookmarkEnd w:id="37"/>
      <w:r w:rsidRPr="001C21DC">
        <w:rPr>
          <w:lang w:val="en-GB"/>
        </w:rPr>
        <w:t xml:space="preserve"> </w:t>
      </w:r>
    </w:p>
    <w:p w:rsidR="002676F9" w:rsidRPr="001C21DC" w:rsidRDefault="002676F9" w:rsidP="002676F9">
      <w:pPr>
        <w:pStyle w:val="ListParagraph"/>
        <w:autoSpaceDE w:val="0"/>
        <w:ind w:left="450"/>
        <w:jc w:val="both"/>
        <w:rPr>
          <w:color w:val="000000"/>
          <w:lang w:val="en-GB" w:eastAsia="en-US"/>
        </w:rPr>
      </w:pPr>
    </w:p>
    <w:p w:rsidR="002676F9" w:rsidRPr="001C21DC" w:rsidRDefault="008C61C8"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On his part, the SRSG does not contest that UNMIK had a duty to investigate the </w:t>
      </w:r>
      <w:r w:rsidR="002676F9" w:rsidRPr="001C21DC">
        <w:rPr>
          <w:lang w:val="en-GB"/>
        </w:rPr>
        <w:t xml:space="preserve">case </w:t>
      </w:r>
      <w:r w:rsidRPr="001C21DC">
        <w:rPr>
          <w:lang w:val="en-GB"/>
        </w:rPr>
        <w:t>under Article 2</w:t>
      </w:r>
      <w:r w:rsidR="00A10228" w:rsidRPr="001C21DC">
        <w:rPr>
          <w:lang w:val="en-GB"/>
        </w:rPr>
        <w:t xml:space="preserve"> of the ECHR</w:t>
      </w:r>
      <w:r w:rsidRPr="001C21DC">
        <w:rPr>
          <w:lang w:val="en-GB"/>
        </w:rPr>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2676F9" w:rsidRPr="001C21DC" w:rsidRDefault="002676F9" w:rsidP="002676F9">
      <w:pPr>
        <w:pStyle w:val="ListParagraph"/>
        <w:rPr>
          <w:color w:val="000000"/>
          <w:lang w:val="en-GB"/>
        </w:rPr>
      </w:pPr>
    </w:p>
    <w:p w:rsidR="002676F9" w:rsidRPr="001C21DC" w:rsidRDefault="00FF3527"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The </w:t>
      </w:r>
      <w:r w:rsidRPr="001C21DC">
        <w:rPr>
          <w:color w:val="000000"/>
          <w:lang w:val="en-GB" w:eastAsia="nl-BE"/>
        </w:rPr>
        <w:t>Panel</w:t>
      </w:r>
      <w:r w:rsidRPr="001C21DC">
        <w:rPr>
          <w:color w:val="000000"/>
          <w:lang w:val="en-GB"/>
        </w:rPr>
        <w:t xml:space="preserve"> </w:t>
      </w:r>
      <w:r w:rsidRPr="001C21DC">
        <w:rPr>
          <w:lang w:val="en-GB"/>
        </w:rPr>
        <w:t>considers</w:t>
      </w:r>
      <w:r w:rsidRPr="001C21DC">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2676F9" w:rsidRPr="001C21DC" w:rsidRDefault="002676F9" w:rsidP="002676F9">
      <w:pPr>
        <w:pStyle w:val="ListParagrap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As </w:t>
      </w:r>
      <w:r w:rsidRPr="001C21DC">
        <w:rPr>
          <w:lang w:val="en-GB"/>
        </w:rPr>
        <w:t>regards</w:t>
      </w:r>
      <w:r w:rsidRPr="001C21DC">
        <w:rPr>
          <w:color w:val="000000"/>
          <w:lang w:val="en-GB" w:eastAsia="en-US"/>
        </w:rPr>
        <w:t xml:space="preserve"> the applicability of Article 2 to UNMIK, the Panel recalls </w:t>
      </w:r>
      <w:r w:rsidRPr="001C21DC">
        <w:rPr>
          <w:color w:val="000000"/>
          <w:lang w:val="en-GB" w:eastAsia="nl-BE"/>
        </w:rPr>
        <w:t xml:space="preserve">that with the adoption of the UNMIK Regulation No. 1999/1 on 25 July 1999 UNMIK undertook an obligation to observe internationally recognised human rights standards in exercising its </w:t>
      </w:r>
      <w:r w:rsidRPr="001C21DC">
        <w:rPr>
          <w:lang w:val="en-GB"/>
        </w:rPr>
        <w:t>functions</w:t>
      </w:r>
      <w:r w:rsidRPr="001C21DC">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C21D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C21DC">
        <w:rPr>
          <w:i/>
          <w:lang w:val="en-GB"/>
        </w:rPr>
        <w:t>Milogorić</w:t>
      </w:r>
      <w:r w:rsidRPr="001C21DC">
        <w:rPr>
          <w:lang w:val="en-GB"/>
        </w:rPr>
        <w:t xml:space="preserve"> </w:t>
      </w:r>
      <w:r w:rsidRPr="001C21DC">
        <w:rPr>
          <w:i/>
          <w:lang w:val="en-GB"/>
        </w:rPr>
        <w:t>and Others,</w:t>
      </w:r>
      <w:r w:rsidRPr="001C21DC">
        <w:rPr>
          <w:lang w:val="en-GB"/>
        </w:rPr>
        <w:t xml:space="preserve"> nos. 38/08 and others, opinion of 24 March 2011, § 44; </w:t>
      </w:r>
      <w:r w:rsidRPr="001C21DC">
        <w:rPr>
          <w:i/>
          <w:lang w:val="en-GB"/>
        </w:rPr>
        <w:t>Berisha and Others,</w:t>
      </w:r>
      <w:r w:rsidRPr="001C21DC">
        <w:rPr>
          <w:lang w:val="en-GB"/>
        </w:rPr>
        <w:t xml:space="preserve"> nos. 27/08 and others, opinion of 23 February 2011,</w:t>
      </w:r>
      <w:r w:rsidRPr="001C21DC">
        <w:rPr>
          <w:i/>
          <w:lang w:val="en-GB"/>
        </w:rPr>
        <w:t xml:space="preserve"> </w:t>
      </w:r>
      <w:r w:rsidRPr="001C21DC">
        <w:rPr>
          <w:lang w:val="en-GB"/>
        </w:rPr>
        <w:t xml:space="preserve">§ 25; </w:t>
      </w:r>
      <w:r w:rsidRPr="001C21DC">
        <w:rPr>
          <w:i/>
          <w:lang w:val="en-GB"/>
        </w:rPr>
        <w:t>Lalić and Others</w:t>
      </w:r>
      <w:r w:rsidRPr="001C21DC">
        <w:rPr>
          <w:lang w:val="en-GB"/>
        </w:rPr>
        <w:t>, nos. 09/08 and others, opinion of 9 June 2012, § 22).</w:t>
      </w:r>
      <w:bookmarkStart w:id="38" w:name="_Ref366241246"/>
    </w:p>
    <w:p w:rsidR="002676F9" w:rsidRPr="001C21DC" w:rsidRDefault="002676F9" w:rsidP="002676F9">
      <w:pPr>
        <w:pStyle w:val="ListParagraph"/>
        <w:rPr>
          <w:lang w:val="en-GB"/>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bookmarkStart w:id="39" w:name="_Ref391030021"/>
      <w:r w:rsidRPr="001C21DC">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1C21DC">
        <w:rPr>
          <w:color w:val="000000"/>
          <w:lang w:val="en-GB" w:eastAsia="en-US"/>
        </w:rPr>
        <w:t>Yugoslavia</w:t>
      </w:r>
      <w:r w:rsidRPr="001C21DC">
        <w:rPr>
          <w:lang w:val="en-GB"/>
        </w:rPr>
        <w:t xml:space="preserve"> (see, among other examples, ECtHR, </w:t>
      </w:r>
      <w:r w:rsidRPr="001C21DC">
        <w:rPr>
          <w:i/>
          <w:lang w:val="en-GB"/>
        </w:rPr>
        <w:t>Palić v. Bosnia and Herzegovina,</w:t>
      </w:r>
      <w:r w:rsidRPr="001C21DC">
        <w:rPr>
          <w:lang w:val="en-GB"/>
        </w:rPr>
        <w:t xml:space="preserve"> cited in § </w:t>
      </w:r>
      <w:r w:rsidR="00401775" w:rsidRPr="001C21DC">
        <w:rPr>
          <w:lang w:val="en-GB"/>
        </w:rPr>
        <w:t>105</w:t>
      </w:r>
      <w:r w:rsidRPr="001C21DC">
        <w:rPr>
          <w:lang w:val="en-GB"/>
        </w:rPr>
        <w:t xml:space="preserve"> above, and ECtHR, </w:t>
      </w:r>
      <w:r w:rsidRPr="001C21DC">
        <w:rPr>
          <w:i/>
          <w:lang w:val="en-GB"/>
        </w:rPr>
        <w:t>Jularić v. Croatia</w:t>
      </w:r>
      <w:r w:rsidRPr="001C21DC">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1C21DC">
        <w:rPr>
          <w:lang w:val="en-GB" w:eastAsia="en-US"/>
        </w:rPr>
        <w:t xml:space="preserve">ECtHR [GC], </w:t>
      </w:r>
      <w:r w:rsidRPr="001C21DC">
        <w:rPr>
          <w:i/>
          <w:lang w:val="en-GB" w:eastAsia="en-US"/>
        </w:rPr>
        <w:t>Al-Skeini and Others v. the United Kingdom</w:t>
      </w:r>
      <w:r w:rsidRPr="001C21DC">
        <w:rPr>
          <w:lang w:val="en-GB" w:eastAsia="en-US"/>
        </w:rPr>
        <w:t xml:space="preserve">, cited in § </w:t>
      </w:r>
      <w:r w:rsidR="005A35A3">
        <w:fldChar w:fldCharType="begin"/>
      </w:r>
      <w:r w:rsidR="005A35A3">
        <w:instrText xml:space="preserve"> REF _Ref366240205 \r \h  \* MERGEFORMAT </w:instrText>
      </w:r>
      <w:r w:rsidR="005A35A3">
        <w:fldChar w:fldCharType="separate"/>
      </w:r>
      <w:r w:rsidR="00D0695D" w:rsidRPr="00D0695D">
        <w:rPr>
          <w:lang w:val="en-GB" w:eastAsia="en-US"/>
        </w:rPr>
        <w:t>108</w:t>
      </w:r>
      <w:r w:rsidR="005A35A3">
        <w:fldChar w:fldCharType="end"/>
      </w:r>
      <w:r w:rsidRPr="001C21DC">
        <w:rPr>
          <w:lang w:val="en-GB" w:eastAsia="en-US"/>
        </w:rPr>
        <w:t xml:space="preserve"> above, at § 164; see also ECtHR, </w:t>
      </w:r>
      <w:r w:rsidRPr="001C21DC">
        <w:rPr>
          <w:i/>
          <w:lang w:val="en-GB" w:eastAsia="en-US"/>
        </w:rPr>
        <w:t>Güleç v. Turkey</w:t>
      </w:r>
      <w:r w:rsidRPr="001C21DC">
        <w:rPr>
          <w:lang w:val="en-GB" w:eastAsia="en-US"/>
        </w:rPr>
        <w:t>, judgment of 27 July 1998, § 81,</w:t>
      </w:r>
      <w:r w:rsidRPr="001C21DC">
        <w:rPr>
          <w:lang w:val="en-GB"/>
        </w:rPr>
        <w:t xml:space="preserve"> Reports </w:t>
      </w:r>
      <w:r w:rsidRPr="001C21DC">
        <w:rPr>
          <w:lang w:val="en-GB" w:eastAsia="en-US"/>
        </w:rPr>
        <w:t>1998-IV; ECtHR,</w:t>
      </w:r>
      <w:r w:rsidRPr="001C21DC">
        <w:rPr>
          <w:i/>
          <w:lang w:val="en-GB" w:eastAsia="en-US"/>
        </w:rPr>
        <w:t xml:space="preserve"> Ergi v. Turkey</w:t>
      </w:r>
      <w:r w:rsidRPr="001C21DC">
        <w:rPr>
          <w:lang w:val="en-GB" w:eastAsia="en-US"/>
        </w:rPr>
        <w:t>, judgment of 28 July 1998, §§ 79 and 82, Reports 1998-IV; ECtHR,</w:t>
      </w:r>
      <w:r w:rsidRPr="001C21DC">
        <w:rPr>
          <w:i/>
          <w:lang w:val="en-GB" w:eastAsia="en-US"/>
        </w:rPr>
        <w:t xml:space="preserve"> Ahmet Özkan and Others v. Turkey</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85-90, 309-320 and 326-330;</w:t>
      </w:r>
      <w:r w:rsidRPr="001C21DC">
        <w:rPr>
          <w:i/>
          <w:lang w:val="en-GB" w:eastAsia="en-US"/>
        </w:rPr>
        <w:t xml:space="preserve"> Isayeva v.</w:t>
      </w:r>
      <w:r w:rsidR="00A10228" w:rsidRPr="001C21DC">
        <w:rPr>
          <w:i/>
          <w:lang w:val="en-GB" w:eastAsia="en-US"/>
        </w:rPr>
        <w:t xml:space="preserve"> </w:t>
      </w:r>
      <w:r w:rsidRPr="001C21DC">
        <w:rPr>
          <w:i/>
          <w:lang w:val="en-GB" w:eastAsia="en-US"/>
        </w:rPr>
        <w:t>Russia</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xml:space="preserve">§§ 180 and 210; ECtHR, </w:t>
      </w:r>
      <w:r w:rsidRPr="001C21DC">
        <w:rPr>
          <w:i/>
          <w:lang w:val="en-GB" w:eastAsia="en-US"/>
        </w:rPr>
        <w:t>Kanlibaş v. Turkey</w:t>
      </w:r>
      <w:r w:rsidRPr="001C21DC">
        <w:rPr>
          <w:lang w:val="en-GB" w:eastAsia="en-US"/>
        </w:rPr>
        <w:t>, no. 32444/96, judgment of 8 December 2005, §§ 39-51)</w:t>
      </w:r>
      <w:r w:rsidRPr="001C21DC">
        <w:rPr>
          <w:lang w:val="en-GB"/>
        </w:rPr>
        <w:t>.</w:t>
      </w:r>
      <w:bookmarkEnd w:id="38"/>
      <w:bookmarkEnd w:id="39"/>
      <w:r w:rsidRPr="001C21DC">
        <w:rPr>
          <w:lang w:val="en-GB"/>
        </w:rPr>
        <w:t xml:space="preserve"> </w:t>
      </w:r>
      <w:bookmarkStart w:id="40" w:name="_Ref366241459"/>
    </w:p>
    <w:p w:rsidR="002676F9" w:rsidRPr="001C21DC" w:rsidRDefault="002676F9" w:rsidP="002676F9">
      <w:pPr>
        <w:pStyle w:val="ListParagraph"/>
        <w:autoSpaceDE w:val="0"/>
        <w:ind w:left="450"/>
        <w:jc w:val="bot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1C21DC">
        <w:rPr>
          <w:lang w:val="en-GB" w:eastAsia="en-US"/>
        </w:rPr>
        <w:t xml:space="preserve">use of </w:t>
      </w:r>
      <w:r w:rsidRPr="001C21DC">
        <w:rPr>
          <w:lang w:val="en-GB"/>
        </w:rPr>
        <w:t xml:space="preserve">less effective measures of investigation or may cause an investigation to be delayed” (see, </w:t>
      </w:r>
      <w:r w:rsidRPr="001C21DC">
        <w:rPr>
          <w:lang w:val="en-GB" w:eastAsia="en-US"/>
        </w:rPr>
        <w:t xml:space="preserve">ECtHR [GC], </w:t>
      </w:r>
      <w:r w:rsidRPr="001C21DC">
        <w:rPr>
          <w:i/>
          <w:lang w:val="en-GB" w:eastAsia="en-US"/>
        </w:rPr>
        <w:t xml:space="preserve">Al-Skeini and Others v. the United Kingdom, </w:t>
      </w:r>
      <w:r w:rsidRPr="001C21DC">
        <w:rPr>
          <w:lang w:val="en-GB" w:eastAsia="en-US"/>
        </w:rPr>
        <w:t>cited above, at §164;</w:t>
      </w:r>
      <w:r w:rsidRPr="001C21DC">
        <w:rPr>
          <w:i/>
          <w:lang w:val="en-GB" w:eastAsia="en-US"/>
        </w:rPr>
        <w:t xml:space="preserve"> </w:t>
      </w:r>
      <w:r w:rsidRPr="001C21DC">
        <w:rPr>
          <w:lang w:val="en-GB" w:eastAsia="en-US"/>
        </w:rPr>
        <w:t>ECtHR,</w:t>
      </w:r>
      <w:r w:rsidRPr="001C21DC">
        <w:rPr>
          <w:i/>
          <w:lang w:val="en-GB" w:eastAsia="en-US"/>
        </w:rPr>
        <w:t xml:space="preserve"> Bazorkina v. Russia</w:t>
      </w:r>
      <w:r w:rsidRPr="001C21DC">
        <w:rPr>
          <w:lang w:val="en-GB" w:eastAsia="en-US"/>
        </w:rPr>
        <w:t>, no. 69481/01, judgment of 27 July 2006, § 121)</w:t>
      </w:r>
      <w:r w:rsidRPr="001C21DC">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C21DC">
        <w:rPr>
          <w:i/>
          <w:lang w:val="en-GB" w:eastAsia="en-US"/>
        </w:rPr>
        <w:t>Kaya v. Turkey</w:t>
      </w:r>
      <w:r w:rsidRPr="001C21DC">
        <w:rPr>
          <w:lang w:val="en-GB" w:eastAsia="en-US"/>
        </w:rPr>
        <w:t xml:space="preserve">, cited in § </w:t>
      </w:r>
      <w:r w:rsidR="005A35A3">
        <w:fldChar w:fldCharType="begin"/>
      </w:r>
      <w:r w:rsidR="005A35A3">
        <w:instrText xml:space="preserve"> REF _Ref366239860 \r \h  \* MERGEFORMAT </w:instrText>
      </w:r>
      <w:r w:rsidR="005A35A3">
        <w:fldChar w:fldCharType="separate"/>
      </w:r>
      <w:r w:rsidR="00D0695D" w:rsidRPr="00D0695D">
        <w:rPr>
          <w:lang w:val="en-GB" w:eastAsia="en-US"/>
        </w:rPr>
        <w:t>102</w:t>
      </w:r>
      <w:r w:rsidR="005A35A3">
        <w:fldChar w:fldCharType="end"/>
      </w:r>
      <w:r w:rsidR="00CF7241" w:rsidRPr="001C21DC">
        <w:rPr>
          <w:lang w:val="en-GB"/>
        </w:rPr>
        <w:t xml:space="preserve"> </w:t>
      </w:r>
      <w:r w:rsidRPr="001C21DC">
        <w:rPr>
          <w:lang w:val="en-GB" w:eastAsia="en-US"/>
        </w:rPr>
        <w:t>above, at §§ 86</w:t>
      </w:r>
      <w:r w:rsidRPr="001C21DC">
        <w:rPr>
          <w:lang w:val="en-GB" w:eastAsia="en-US"/>
        </w:rPr>
        <w:noBreakHyphen/>
        <w:t xml:space="preserve">92; ECtHR, </w:t>
      </w:r>
      <w:r w:rsidRPr="001C21DC">
        <w:rPr>
          <w:i/>
          <w:lang w:val="en-GB" w:eastAsia="en-US"/>
        </w:rPr>
        <w:t>Ergi</w:t>
      </w:r>
      <w:r w:rsidR="00347A90" w:rsidRPr="001C21DC">
        <w:rPr>
          <w:i/>
          <w:lang w:val="en-GB" w:eastAsia="en-US"/>
        </w:rPr>
        <w:t xml:space="preserve"> v Turkey</w:t>
      </w:r>
      <w:r w:rsidRPr="001C21DC">
        <w:rPr>
          <w:i/>
          <w:lang w:val="en-GB" w:eastAsia="en-US"/>
        </w:rPr>
        <w:t xml:space="preserve">, </w:t>
      </w:r>
      <w:r w:rsidRPr="001C21DC">
        <w:rPr>
          <w:lang w:val="en-GB" w:eastAsia="en-US"/>
        </w:rPr>
        <w:t>cited above, at §§</w:t>
      </w:r>
      <w:r w:rsidR="00A10228" w:rsidRPr="001C21DC">
        <w:rPr>
          <w:lang w:val="en-GB" w:eastAsia="en-US"/>
        </w:rPr>
        <w:t xml:space="preserve"> </w:t>
      </w:r>
      <w:r w:rsidRPr="001C21DC">
        <w:rPr>
          <w:lang w:val="en-GB" w:eastAsia="en-US"/>
        </w:rPr>
        <w:t xml:space="preserve">82-85; ECtHR [GC], </w:t>
      </w:r>
      <w:r w:rsidRPr="001C21DC">
        <w:rPr>
          <w:i/>
          <w:lang w:val="en-GB" w:eastAsia="en-US"/>
        </w:rPr>
        <w:t>Tanrıkulu v. Turkey</w:t>
      </w:r>
      <w:r w:rsidRPr="001C21DC">
        <w:rPr>
          <w:lang w:val="en-GB" w:eastAsia="en-US"/>
        </w:rPr>
        <w:t xml:space="preserve">, no. 23763/94, judgment of 8 July 1999, §§ 101-110, ECHR 1999-IV; ECtHR, </w:t>
      </w:r>
      <w:r w:rsidRPr="001C21DC">
        <w:rPr>
          <w:i/>
          <w:lang w:val="en-GB" w:eastAsia="en-US"/>
        </w:rPr>
        <w:t>Khashiyev and Akayeva v. Russia</w:t>
      </w:r>
      <w:r w:rsidRPr="001C21DC">
        <w:rPr>
          <w:lang w:val="en-GB" w:eastAsia="en-US"/>
        </w:rPr>
        <w:t>, nos. 57942/00 and</w:t>
      </w:r>
      <w:r w:rsidR="00A10228" w:rsidRPr="001C21DC">
        <w:rPr>
          <w:lang w:val="en-GB" w:eastAsia="en-US"/>
        </w:rPr>
        <w:t xml:space="preserve"> </w:t>
      </w:r>
      <w:r w:rsidRPr="001C21DC">
        <w:rPr>
          <w:lang w:val="en-GB" w:eastAsia="en-US"/>
        </w:rPr>
        <w:t xml:space="preserve">57945/00, judgment of 24 February 2005, §§ 156-166; ECtHR, </w:t>
      </w:r>
      <w:r w:rsidRPr="001C21DC">
        <w:rPr>
          <w:i/>
          <w:lang w:val="en-GB" w:eastAsia="en-US"/>
        </w:rPr>
        <w:t>Isayeva v. Russia</w:t>
      </w:r>
      <w:r w:rsidRPr="001C21DC">
        <w:rPr>
          <w:lang w:val="en-GB" w:eastAsia="en-US"/>
        </w:rPr>
        <w:t xml:space="preserve">, </w:t>
      </w:r>
      <w:r w:rsidRPr="001C21DC">
        <w:rPr>
          <w:lang w:val="en-GB"/>
        </w:rPr>
        <w:t xml:space="preserve">cited above, at </w:t>
      </w:r>
      <w:r w:rsidRPr="001C21DC">
        <w:rPr>
          <w:lang w:val="en-GB" w:eastAsia="en-US"/>
        </w:rPr>
        <w:t>§§</w:t>
      </w:r>
      <w:r w:rsidR="00A10228" w:rsidRPr="001C21DC">
        <w:rPr>
          <w:lang w:val="en-GB" w:eastAsia="en-US"/>
        </w:rPr>
        <w:t xml:space="preserve"> </w:t>
      </w:r>
      <w:r w:rsidRPr="001C21DC">
        <w:rPr>
          <w:lang w:val="en-GB" w:eastAsia="en-US"/>
        </w:rPr>
        <w:t>215</w:t>
      </w:r>
      <w:r w:rsidRPr="001C21DC">
        <w:rPr>
          <w:lang w:val="en-GB" w:eastAsia="en-US"/>
        </w:rPr>
        <w:noBreakHyphen/>
        <w:t xml:space="preserve">224; ECtHR, </w:t>
      </w:r>
      <w:r w:rsidRPr="001C21DC">
        <w:rPr>
          <w:i/>
          <w:lang w:val="en-GB" w:eastAsia="en-US"/>
        </w:rPr>
        <w:t>Musayev and Others v. Russia</w:t>
      </w:r>
      <w:r w:rsidRPr="001C21DC">
        <w:rPr>
          <w:lang w:val="en-GB" w:eastAsia="en-US"/>
        </w:rPr>
        <w:t>, nos. 57941/00 and others, judgment of 26 July 2007, §§ 158-165).</w:t>
      </w:r>
      <w:bookmarkEnd w:id="40"/>
      <w:r w:rsidRPr="001C21DC">
        <w:rPr>
          <w:lang w:val="en-GB" w:eastAsia="en-US"/>
        </w:rPr>
        <w:t xml:space="preserve"> </w:t>
      </w:r>
    </w:p>
    <w:p w:rsidR="002676F9" w:rsidRPr="001C21DC" w:rsidRDefault="002676F9" w:rsidP="002676F9">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Similarly, the HRC </w:t>
      </w:r>
      <w:r w:rsidRPr="001C21DC">
        <w:rPr>
          <w:lang w:val="en-GB"/>
        </w:rPr>
        <w:t>has</w:t>
      </w:r>
      <w:r w:rsidRPr="001C21DC">
        <w:rPr>
          <w:color w:val="000000"/>
          <w:lang w:val="en-GB" w:eastAsia="en-US"/>
        </w:rPr>
        <w:t xml:space="preserve"> held that the right to life, including its procedural guarantees, shall be considered as the supreme right from which no derogation is </w:t>
      </w:r>
      <w:r w:rsidRPr="001C21DC">
        <w:rPr>
          <w:lang w:val="en-GB"/>
        </w:rPr>
        <w:t>permitted</w:t>
      </w:r>
      <w:r w:rsidRPr="001C21DC">
        <w:rPr>
          <w:color w:val="000000"/>
          <w:lang w:val="en-GB" w:eastAsia="en-US"/>
        </w:rPr>
        <w:t xml:space="preserve"> even in time of public emergency which threatens the life of the nation (see, HRC, General Comment No. 6, cited in § </w:t>
      </w:r>
      <w:r w:rsidR="00401775" w:rsidRPr="001C21DC">
        <w:rPr>
          <w:color w:val="000000"/>
          <w:lang w:val="en-GB" w:eastAsia="en-US"/>
        </w:rPr>
        <w:t>101</w:t>
      </w:r>
      <w:r w:rsidR="00347A90" w:rsidRPr="001C21DC">
        <w:rPr>
          <w:color w:val="000000"/>
          <w:lang w:val="en-GB" w:eastAsia="en-US"/>
        </w:rPr>
        <w:t xml:space="preserve"> </w:t>
      </w:r>
      <w:r w:rsidRPr="001C21DC">
        <w:rPr>
          <w:color w:val="000000"/>
          <w:lang w:val="en-GB" w:eastAsia="en-US"/>
        </w:rPr>
        <w:t xml:space="preserve">above, at § 1; HRC, </w:t>
      </w:r>
      <w:r w:rsidRPr="001C21DC">
        <w:rPr>
          <w:i/>
          <w:color w:val="000000"/>
          <w:lang w:val="en-GB" w:eastAsia="en-US"/>
        </w:rPr>
        <w:t>Abubakar Amirov and Aïzan Amirova v. Russi</w:t>
      </w:r>
      <w:r w:rsidRPr="001C21DC">
        <w:rPr>
          <w:i/>
          <w:lang w:val="en-GB"/>
        </w:rPr>
        <w:t>a</w:t>
      </w:r>
      <w:r w:rsidRPr="001C21DC">
        <w:rPr>
          <w:i/>
          <w:color w:val="000000"/>
          <w:lang w:val="en-GB" w:eastAsia="en-US"/>
        </w:rPr>
        <w:t>n Federation</w:t>
      </w:r>
      <w:r w:rsidRPr="001C21DC">
        <w:rPr>
          <w:color w:val="000000"/>
          <w:lang w:val="en-GB" w:eastAsia="en-US"/>
        </w:rPr>
        <w:t xml:space="preserve">, communication no. 1447/2006, views of 22 April 2009, § 11.2, </w:t>
      </w:r>
      <w:r w:rsidRPr="001C21DC">
        <w:rPr>
          <w:bCs/>
          <w:lang w:val="en-GB" w:eastAsia="en-US"/>
        </w:rPr>
        <w:t>CCPR/C/95/D/1447/2006</w:t>
      </w:r>
      <w:r w:rsidRPr="001C21DC">
        <w:rPr>
          <w:lang w:val="en-GB" w:eastAsia="en-US"/>
        </w:rPr>
        <w:t>).</w:t>
      </w:r>
      <w:r w:rsidRPr="001C21DC">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1C21DC">
        <w:rPr>
          <w:lang w:val="en-GB" w:eastAsia="en-US"/>
        </w:rPr>
        <w:t>§§ 12-13, CCPR/C/UNK/CO/1).</w:t>
      </w:r>
      <w:bookmarkStart w:id="41" w:name="_Ref343611663"/>
    </w:p>
    <w:p w:rsidR="003461BE" w:rsidRPr="001C21DC" w:rsidRDefault="003461BE" w:rsidP="003461BE">
      <w:pPr>
        <w:pStyle w:val="ListParagraph"/>
        <w:rPr>
          <w:lang w:val="en-GB"/>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1C21DC">
        <w:rPr>
          <w:color w:val="000000"/>
          <w:lang w:val="en-GB"/>
        </w:rPr>
        <w:t xml:space="preserve">officers or units of UNMIK Police. Such a system should also take account of the protection needs of victims and witnesses (see, </w:t>
      </w:r>
      <w:r w:rsidRPr="001C21DC">
        <w:rPr>
          <w:i/>
          <w:color w:val="000000"/>
          <w:lang w:val="en-GB"/>
        </w:rPr>
        <w:t>mutatis mutandis</w:t>
      </w:r>
      <w:r w:rsidRPr="001C21DC">
        <w:rPr>
          <w:color w:val="000000"/>
          <w:lang w:val="en-GB"/>
        </w:rPr>
        <w:t xml:space="preserve">, ECtHR, </w:t>
      </w:r>
      <w:r w:rsidRPr="001C21DC">
        <w:rPr>
          <w:i/>
          <w:color w:val="000000"/>
          <w:lang w:val="en-GB"/>
        </w:rPr>
        <w:t>R.R. and Others v. Hungary</w:t>
      </w:r>
      <w:r w:rsidRPr="001C21DC">
        <w:rPr>
          <w:color w:val="000000"/>
          <w:lang w:val="en-GB"/>
        </w:rPr>
        <w:t xml:space="preserve">, no. 19400/11, judgment of 4 December 2012, §§ 28-32), as well as to consider the special vulnerability of displaced persons in post-conflict situations (see ECtHR [GC], </w:t>
      </w:r>
      <w:r w:rsidRPr="001C21DC">
        <w:rPr>
          <w:i/>
          <w:color w:val="000000"/>
          <w:lang w:val="en-GB"/>
        </w:rPr>
        <w:t xml:space="preserve">Sargsyan v. Azerbaijan, </w:t>
      </w:r>
      <w:r w:rsidRPr="001C21DC">
        <w:rPr>
          <w:color w:val="000000"/>
          <w:lang w:val="en-GB"/>
        </w:rPr>
        <w:t xml:space="preserve">no. 40167/06, decision of 14 </w:t>
      </w:r>
      <w:r w:rsidRPr="001C21DC">
        <w:rPr>
          <w:lang w:val="en-GB"/>
        </w:rPr>
        <w:t>December</w:t>
      </w:r>
      <w:r w:rsidRPr="001C21DC">
        <w:rPr>
          <w:color w:val="000000"/>
          <w:lang w:val="en-GB"/>
        </w:rPr>
        <w:t xml:space="preserve"> 2011, § 145; and ECtHR [GC], </w:t>
      </w:r>
      <w:r w:rsidRPr="001C21DC">
        <w:rPr>
          <w:i/>
          <w:color w:val="000000"/>
          <w:lang w:val="en-GB"/>
        </w:rPr>
        <w:t>Chiragov and Others v. Armenia</w:t>
      </w:r>
      <w:r w:rsidRPr="001C21DC">
        <w:rPr>
          <w:color w:val="000000"/>
          <w:lang w:val="en-GB"/>
        </w:rPr>
        <w:t>, no. 13216/05, decision of 14 December 2011, § 146). While understanding that the deployment and the organisation of the police and justice apparatus occurred</w:t>
      </w:r>
      <w:r w:rsidRPr="001C21DC">
        <w:rPr>
          <w:lang w:val="en-GB"/>
        </w:rPr>
        <w:t xml:space="preserve"> gradually, the Panel deems that this process was completed in 2003 when the police and justice system in Kosovo was described as being “well-functioning” and “sustainable” by the UN Secretary-General (see </w:t>
      </w:r>
      <w:r w:rsidRPr="001C21DC">
        <w:rPr>
          <w:lang w:val="en-GB" w:eastAsia="en-US"/>
        </w:rPr>
        <w:t xml:space="preserve">§ </w:t>
      </w:r>
      <w:r w:rsidR="005A35A3">
        <w:fldChar w:fldCharType="begin"/>
      </w:r>
      <w:r w:rsidR="005A35A3">
        <w:instrText xml:space="preserve"> REF _Ref346123767 \r \h  \* MERGEFORMAT </w:instrText>
      </w:r>
      <w:r w:rsidR="005A35A3">
        <w:fldChar w:fldCharType="separate"/>
      </w:r>
      <w:r w:rsidR="00D0695D" w:rsidRPr="00D0695D">
        <w:rPr>
          <w:lang w:val="en-GB" w:eastAsia="en-US"/>
        </w:rPr>
        <w:t>25</w:t>
      </w:r>
      <w:r w:rsidR="005A35A3">
        <w:fldChar w:fldCharType="end"/>
      </w:r>
      <w:r w:rsidRPr="001C21DC">
        <w:rPr>
          <w:lang w:val="en-GB" w:eastAsia="en-US"/>
        </w:rPr>
        <w:t xml:space="preserve"> </w:t>
      </w:r>
      <w:r w:rsidRPr="001C21DC">
        <w:rPr>
          <w:lang w:val="en-GB"/>
        </w:rPr>
        <w:t>above).</w:t>
      </w:r>
      <w:bookmarkStart w:id="42" w:name="_Ref366163789"/>
      <w:bookmarkEnd w:id="41"/>
    </w:p>
    <w:p w:rsidR="003461BE" w:rsidRPr="001C21DC" w:rsidRDefault="003461BE" w:rsidP="003461BE">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rStyle w:val="sb8d990e2"/>
          <w:color w:val="000000"/>
          <w:lang w:val="en-GB" w:eastAsia="en-US"/>
        </w:rPr>
      </w:pPr>
      <w:r w:rsidRPr="001C21DC">
        <w:rPr>
          <w:rStyle w:val="sb8d990e2"/>
          <w:lang w:val="en-GB"/>
        </w:rPr>
        <w:t xml:space="preserve">The Panel </w:t>
      </w:r>
      <w:r w:rsidRPr="001C21DC">
        <w:t>further</w:t>
      </w:r>
      <w:r w:rsidRPr="001C21DC">
        <w:rPr>
          <w:rStyle w:val="sb8d990e2"/>
          <w:lang w:val="en-GB"/>
        </w:rPr>
        <w:t xml:space="preserve"> notes that its task is not to review relevant practices or alleged obstacles to the conduct of effective investigations </w:t>
      </w:r>
      <w:r w:rsidRPr="001C21DC">
        <w:rPr>
          <w:rStyle w:val="s6b621b36"/>
          <w:i/>
          <w:lang w:val="en-GB"/>
        </w:rPr>
        <w:t xml:space="preserve">in </w:t>
      </w:r>
      <w:r w:rsidRPr="001C21DC">
        <w:rPr>
          <w:rStyle w:val="wordhighlighted"/>
          <w:i/>
          <w:lang w:val="en-GB"/>
        </w:rPr>
        <w:t>abstracto</w:t>
      </w:r>
      <w:r w:rsidRPr="001C21DC">
        <w:rPr>
          <w:rStyle w:val="sb8d990e2"/>
          <w:lang w:val="en-GB"/>
        </w:rPr>
        <w:t xml:space="preserve">, but only in relation to their specific application to the particular circumstances of a situation subject of a complaint before </w:t>
      </w:r>
      <w:r w:rsidRPr="001C21DC">
        <w:rPr>
          <w:rStyle w:val="sb8d990e2"/>
          <w:color w:val="000000"/>
          <w:lang w:val="en-GB"/>
        </w:rPr>
        <w:t xml:space="preserve">it (see, ECtHR, </w:t>
      </w:r>
      <w:r w:rsidRPr="001C21DC">
        <w:rPr>
          <w:rStyle w:val="s6b621b36"/>
          <w:i/>
          <w:color w:val="000000"/>
          <w:lang w:val="en-GB"/>
        </w:rPr>
        <w:t>Brogan</w:t>
      </w:r>
      <w:r w:rsidRPr="001C21DC">
        <w:rPr>
          <w:rStyle w:val="s6b621b36"/>
          <w:i/>
          <w:lang w:val="en-GB"/>
        </w:rPr>
        <w:t xml:space="preserve"> and Others v. the United </w:t>
      </w:r>
      <w:r w:rsidRPr="001C21DC">
        <w:rPr>
          <w:rStyle w:val="s6b621b36"/>
          <w:i/>
          <w:color w:val="000000"/>
          <w:lang w:val="en-GB"/>
        </w:rPr>
        <w:t>Kingdom</w:t>
      </w:r>
      <w:r w:rsidRPr="001C21DC">
        <w:rPr>
          <w:rStyle w:val="sb8d990e2"/>
          <w:color w:val="000000"/>
          <w:lang w:val="en-GB"/>
        </w:rPr>
        <w:t xml:space="preserve">, </w:t>
      </w:r>
      <w:r w:rsidRPr="001C21DC">
        <w:rPr>
          <w:rStyle w:val="column01"/>
          <w:color w:val="000000"/>
          <w:lang w:val="en-GB"/>
        </w:rPr>
        <w:t>judgment of</w:t>
      </w:r>
      <w:r w:rsidRPr="001C21DC">
        <w:rPr>
          <w:rStyle w:val="sb8d990e2"/>
          <w:color w:val="000000"/>
          <w:lang w:val="en-GB"/>
        </w:rPr>
        <w:t xml:space="preserve"> 29</w:t>
      </w:r>
      <w:r w:rsidRPr="001C21DC">
        <w:rPr>
          <w:rStyle w:val="sb8d990e2"/>
          <w:lang w:val="en-GB"/>
        </w:rPr>
        <w:t xml:space="preserve"> November 1988,</w:t>
      </w:r>
      <w:r w:rsidRPr="001C21DC">
        <w:rPr>
          <w:lang w:val="en-GB"/>
        </w:rPr>
        <w:t xml:space="preserve"> </w:t>
      </w:r>
      <w:r w:rsidRPr="001C21DC">
        <w:rPr>
          <w:rStyle w:val="sb8d990e2"/>
          <w:lang w:val="en-GB"/>
        </w:rPr>
        <w:t xml:space="preserve">§ 53, Series A no. 145-B). </w:t>
      </w:r>
      <w:r w:rsidRPr="001C21DC">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C21DC">
        <w:rPr>
          <w:rStyle w:val="sb8d990e2"/>
          <w:lang w:val="en-GB"/>
        </w:rPr>
        <w:t>For these reasons, the Panel considers that it will establish with regard to each case if all reasonable steps were taken to conduct an effective investigation as prescribed by Article 2,</w:t>
      </w:r>
      <w:r w:rsidRPr="001C21DC">
        <w:rPr>
          <w:lang w:val="en-GB"/>
        </w:rPr>
        <w:t xml:space="preserve"> </w:t>
      </w:r>
      <w:r w:rsidRPr="001C21DC">
        <w:rPr>
          <w:rStyle w:val="sb8d990e2"/>
          <w:lang w:val="en-GB"/>
        </w:rPr>
        <w:t>having regard to the realities of the investigative work in Kosovo.</w:t>
      </w:r>
      <w:bookmarkEnd w:id="42"/>
    </w:p>
    <w:p w:rsidR="003461BE" w:rsidRPr="001C21DC" w:rsidRDefault="003461BE" w:rsidP="003461BE">
      <w:pPr>
        <w:pStyle w:val="ListParagraph"/>
        <w:rPr>
          <w:rStyle w:val="sb8d990e2"/>
          <w:color w:val="000000"/>
          <w:lang w:val="en-GB" w:eastAsia="en-US"/>
        </w:rPr>
      </w:pPr>
    </w:p>
    <w:p w:rsidR="003461BE" w:rsidRPr="001C21DC" w:rsidRDefault="003461BE" w:rsidP="003461BE">
      <w:pPr>
        <w:pStyle w:val="ListParagraph"/>
        <w:numPr>
          <w:ilvl w:val="0"/>
          <w:numId w:val="7"/>
        </w:numPr>
        <w:contextualSpacing/>
        <w:jc w:val="both"/>
        <w:rPr>
          <w:rStyle w:val="sb8d990e2"/>
          <w:i/>
          <w:color w:val="000000"/>
          <w:lang w:val="en-GB"/>
        </w:rPr>
      </w:pPr>
      <w:r w:rsidRPr="001C21DC">
        <w:rPr>
          <w:i/>
          <w:color w:val="000000"/>
          <w:lang w:val="en-GB"/>
        </w:rPr>
        <w:t>Compliance with Article 2 in the present case</w:t>
      </w:r>
    </w:p>
    <w:p w:rsidR="003461BE" w:rsidRPr="001C21DC" w:rsidRDefault="003461BE" w:rsidP="003461BE">
      <w:pPr>
        <w:pStyle w:val="ListParagraph"/>
        <w:rPr>
          <w:lang w:val="en-GB"/>
        </w:rPr>
      </w:pPr>
    </w:p>
    <w:p w:rsidR="003461BE" w:rsidRPr="001C21DC" w:rsidRDefault="00EB473C"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The complainant</w:t>
      </w:r>
      <w:r w:rsidR="00684F40" w:rsidRPr="001C21DC">
        <w:rPr>
          <w:lang w:val="en-GB"/>
        </w:rPr>
        <w:t>s</w:t>
      </w:r>
      <w:r w:rsidRPr="001C21DC">
        <w:rPr>
          <w:lang w:val="en-GB"/>
        </w:rPr>
        <w:t xml:space="preserve"> state that </w:t>
      </w:r>
      <w:r w:rsidR="001A6C6F" w:rsidRPr="001C21DC">
        <w:rPr>
          <w:lang w:val="en-GB"/>
        </w:rPr>
        <w:t xml:space="preserve">the abduction of </w:t>
      </w:r>
      <w:r w:rsidR="00474504" w:rsidRPr="001C21DC">
        <w:rPr>
          <w:lang w:val="en-GB"/>
        </w:rPr>
        <w:t xml:space="preserve">M.V., M.Đ. and </w:t>
      </w:r>
      <w:r w:rsidR="001A6C6F" w:rsidRPr="001C21DC">
        <w:rPr>
          <w:lang w:val="en-GB"/>
        </w:rPr>
        <w:t>D.S. was promptly reported to the KFOR, UNMIK and “other organisations”</w:t>
      </w:r>
      <w:r w:rsidRPr="001C21DC">
        <w:rPr>
          <w:lang w:val="en-GB"/>
        </w:rPr>
        <w:t xml:space="preserve">. </w:t>
      </w:r>
      <w:r w:rsidR="009E1CA5" w:rsidRPr="001C21DC">
        <w:rPr>
          <w:lang w:val="en-GB"/>
        </w:rPr>
        <w:t xml:space="preserve">The Panel notes that UNMIK became aware of the </w:t>
      </w:r>
      <w:r w:rsidR="0019795E" w:rsidRPr="001C21DC">
        <w:rPr>
          <w:lang w:val="en-GB"/>
        </w:rPr>
        <w:t>abduction</w:t>
      </w:r>
      <w:r w:rsidR="00474504" w:rsidRPr="001C21DC">
        <w:rPr>
          <w:lang w:val="en-GB"/>
        </w:rPr>
        <w:t>s</w:t>
      </w:r>
      <w:r w:rsidR="0019795E" w:rsidRPr="001C21DC">
        <w:rPr>
          <w:lang w:val="en-GB"/>
        </w:rPr>
        <w:t xml:space="preserve"> </w:t>
      </w:r>
      <w:r w:rsidR="00AC67D7" w:rsidRPr="001C21DC">
        <w:rPr>
          <w:lang w:val="en-GB"/>
        </w:rPr>
        <w:t>by the end of</w:t>
      </w:r>
      <w:r w:rsidR="001A6C6F" w:rsidRPr="001C21DC">
        <w:rPr>
          <w:lang w:val="en-GB"/>
        </w:rPr>
        <w:t xml:space="preserve"> 1999 when, according to the SRSG, the MPU opened a missing person file on the case</w:t>
      </w:r>
      <w:r w:rsidR="004B627D" w:rsidRPr="001C21DC">
        <w:rPr>
          <w:lang w:val="en-GB"/>
        </w:rPr>
        <w:t xml:space="preserve"> </w:t>
      </w:r>
      <w:r w:rsidR="00FF3527" w:rsidRPr="001C21DC">
        <w:rPr>
          <w:lang w:val="en-GB"/>
        </w:rPr>
        <w:t xml:space="preserve">(see § </w:t>
      </w:r>
      <w:r w:rsidR="005A35A3">
        <w:fldChar w:fldCharType="begin"/>
      </w:r>
      <w:r w:rsidR="005A35A3">
        <w:instrText xml:space="preserve"> REF _Ref390953199 \r \h  \* MERGEFORMAT </w:instrText>
      </w:r>
      <w:r w:rsidR="005A35A3">
        <w:fldChar w:fldCharType="separate"/>
      </w:r>
      <w:r w:rsidR="00D0695D" w:rsidRPr="00D0695D">
        <w:rPr>
          <w:lang w:val="en-GB"/>
        </w:rPr>
        <w:t>83</w:t>
      </w:r>
      <w:r w:rsidR="005A35A3">
        <w:fldChar w:fldCharType="end"/>
      </w:r>
      <w:r w:rsidR="00FF3527" w:rsidRPr="001C21DC">
        <w:rPr>
          <w:lang w:val="en-GB"/>
        </w:rPr>
        <w:t xml:space="preserve"> above).</w:t>
      </w:r>
    </w:p>
    <w:p w:rsidR="003461BE" w:rsidRPr="001C21DC" w:rsidRDefault="003461BE" w:rsidP="003461BE">
      <w:pPr>
        <w:pStyle w:val="ListParagraph"/>
        <w:autoSpaceDE w:val="0"/>
        <w:ind w:left="450"/>
        <w:jc w:val="both"/>
        <w:rPr>
          <w:color w:val="000000"/>
          <w:lang w:val="en-GB" w:eastAsia="en-US"/>
        </w:rPr>
      </w:pPr>
    </w:p>
    <w:p w:rsidR="00180643" w:rsidRPr="001C21DC" w:rsidRDefault="009E1CA5"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rPr>
          <w:bCs/>
          <w:lang w:val="en-GB"/>
        </w:rPr>
        <w:t xml:space="preserve">Examining the </w:t>
      </w:r>
      <w:r w:rsidRPr="001C21DC">
        <w:rPr>
          <w:rStyle w:val="sb8d990e2"/>
        </w:rPr>
        <w:t>particulars</w:t>
      </w:r>
      <w:r w:rsidRPr="001C21DC">
        <w:rPr>
          <w:bCs/>
          <w:lang w:val="en-GB"/>
        </w:rPr>
        <w:t xml:space="preserve"> of this case, the</w:t>
      </w:r>
      <w:r w:rsidR="005125E2" w:rsidRPr="001C21DC">
        <w:rPr>
          <w:lang w:val="en-GB"/>
        </w:rPr>
        <w:t xml:space="preserve"> Panel notes that there were obvious shortcomings in the conduct of the investigation from its commencement. However, in </w:t>
      </w:r>
      <w:r w:rsidR="005125E2" w:rsidRPr="001C21DC">
        <w:rPr>
          <w:color w:val="000000"/>
          <w:lang w:val="en-GB" w:eastAsia="en-US"/>
        </w:rPr>
        <w:t xml:space="preserve">light of the considerations developed above concerning its limited temporal jurisdiction, the Panel recalls that it is competent </w:t>
      </w:r>
      <w:r w:rsidR="005125E2" w:rsidRPr="001C21DC">
        <w:rPr>
          <w:i/>
          <w:color w:val="000000"/>
          <w:lang w:val="en-GB" w:eastAsia="en-US"/>
        </w:rPr>
        <w:t>ratione temporis</w:t>
      </w:r>
      <w:r w:rsidR="005125E2" w:rsidRPr="001C21DC">
        <w:rPr>
          <w:color w:val="000000"/>
          <w:lang w:val="en-GB" w:eastAsia="en-US"/>
        </w:rPr>
        <w:t xml:space="preserve"> to evaluate the compliance of the investigation with Article 2 of the ECHR only for the period after 23 April 2005, </w:t>
      </w:r>
      <w:r w:rsidR="005125E2" w:rsidRPr="001C21DC">
        <w:rPr>
          <w:lang w:val="en-GB"/>
        </w:rPr>
        <w:t>while taking into consideration the state of the case at that date (</w:t>
      </w:r>
      <w:r w:rsidR="00620A98" w:rsidRPr="001C21DC">
        <w:rPr>
          <w:lang w:val="en-GB"/>
        </w:rPr>
        <w:t xml:space="preserve">see ECtHR, </w:t>
      </w:r>
      <w:r w:rsidR="00620A98" w:rsidRPr="001C21DC">
        <w:rPr>
          <w:i/>
        </w:rPr>
        <w:t>Palić v. Bosnia and Herzegovina,</w:t>
      </w:r>
      <w:r w:rsidR="00620A98" w:rsidRPr="001C21DC">
        <w:t xml:space="preserve"> cited in § </w:t>
      </w:r>
      <w:r w:rsidR="00474504" w:rsidRPr="001C21DC">
        <w:t>105</w:t>
      </w:r>
      <w:r w:rsidR="00620A98" w:rsidRPr="001C21DC">
        <w:t xml:space="preserve"> above, at § 70</w:t>
      </w:r>
      <w:r w:rsidR="005125E2" w:rsidRPr="001C21DC">
        <w:rPr>
          <w:lang w:val="en-GB"/>
        </w:rPr>
        <w:t>)</w:t>
      </w:r>
      <w:r w:rsidR="005125E2" w:rsidRPr="001C21DC">
        <w:rPr>
          <w:color w:val="000000"/>
          <w:lang w:val="en-GB" w:eastAsia="en-US"/>
        </w:rPr>
        <w:t xml:space="preserve">. The period under review ends on 9 December 2008, with EULEX taking over responsibility in the area of administration of justice (see </w:t>
      </w:r>
      <w:r w:rsidR="005125E2" w:rsidRPr="001C21DC">
        <w:rPr>
          <w:lang w:val="en-GB"/>
        </w:rPr>
        <w:t xml:space="preserve">§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004B627D" w:rsidRPr="001C21DC">
        <w:rPr>
          <w:color w:val="000000"/>
          <w:lang w:val="en-GB" w:eastAsia="en-US"/>
        </w:rPr>
        <w:t xml:space="preserve"> </w:t>
      </w:r>
      <w:r w:rsidR="005125E2" w:rsidRPr="001C21DC">
        <w:rPr>
          <w:color w:val="000000"/>
          <w:lang w:val="en-GB" w:eastAsia="en-US"/>
        </w:rPr>
        <w:t>above).</w:t>
      </w:r>
    </w:p>
    <w:p w:rsidR="00180643" w:rsidRPr="001C21DC" w:rsidRDefault="00180643" w:rsidP="00180643">
      <w:pPr>
        <w:pStyle w:val="ListParagraph"/>
      </w:pPr>
    </w:p>
    <w:p w:rsidR="00180643" w:rsidRPr="001C21DC" w:rsidRDefault="00180643"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t>Having noted the SRSG’s assertion that the file submitted to the Panel may be incomplete, and the lack of further explanation in relation to this (see</w:t>
      </w:r>
      <w:r w:rsidR="0011687A" w:rsidRPr="001C21DC">
        <w:t xml:space="preserve"> § </w:t>
      </w:r>
      <w:r w:rsidR="005A35A3">
        <w:fldChar w:fldCharType="begin"/>
      </w:r>
      <w:r w:rsidR="005A35A3">
        <w:instrText xml:space="preserve"> REF _Ref390952363 \r \h  \* MERGEFORMAT </w:instrText>
      </w:r>
      <w:r w:rsidR="005A35A3">
        <w:fldChar w:fldCharType="separate"/>
      </w:r>
      <w:r w:rsidR="00D0695D">
        <w:t>67</w:t>
      </w:r>
      <w:r w:rsidR="005A35A3">
        <w:fldChar w:fldCharType="end"/>
      </w:r>
      <w:r w:rsidRPr="001C21D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1C21DC">
        <w:rPr>
          <w:lang w:val="en-GB"/>
        </w:rPr>
        <w:t>EULEX</w:t>
      </w:r>
      <w:r w:rsidRPr="001C21DC">
        <w:t xml:space="preserve">; or UNMIK failed to retrieve the complete file from the current custodian. The Panel has already noted above that it has no reason to doubt UNMIK’s good faith in seeking to provide the complete investigative file for its review (see </w:t>
      </w:r>
      <w:r w:rsidR="0011687A" w:rsidRPr="001C21DC">
        <w:t xml:space="preserve">§§ </w:t>
      </w:r>
      <w:r w:rsidR="00401775" w:rsidRPr="001C21DC">
        <w:t>93</w:t>
      </w:r>
      <w:r w:rsidR="0011687A" w:rsidRPr="001C21DC">
        <w:t>-</w:t>
      </w:r>
      <w:r w:rsidR="005A35A3">
        <w:fldChar w:fldCharType="begin"/>
      </w:r>
      <w:r w:rsidR="005A35A3">
        <w:instrText xml:space="preserve"> REF _Ref391029568 \r \h  \* MERGEFORMAT </w:instrText>
      </w:r>
      <w:r w:rsidR="005A35A3">
        <w:fldChar w:fldCharType="separate"/>
      </w:r>
      <w:r w:rsidR="00D0695D">
        <w:t>98</w:t>
      </w:r>
      <w:r w:rsidR="005A35A3">
        <w:fldChar w:fldCharType="end"/>
      </w:r>
      <w:r w:rsidR="0011687A" w:rsidRPr="001C21DC">
        <w:t xml:space="preserve"> </w:t>
      </w:r>
      <w:r w:rsidRPr="001C21DC">
        <w:t xml:space="preserve">above). However, the Panel considers that whichever of these potential explanations is applicable, it </w:t>
      </w:r>
      <w:r w:rsidRPr="001C21DC">
        <w:rPr>
          <w:bCs/>
          <w:lang w:val="en-GB"/>
        </w:rPr>
        <w:t>would</w:t>
      </w:r>
      <w:r w:rsidRPr="001C21DC">
        <w:t xml:space="preserve"> indicate a failure directly attributable to UNMIK, either when it was exercising its executive functions, or in its current capacity.</w:t>
      </w:r>
    </w:p>
    <w:p w:rsidR="00C55605" w:rsidRPr="001C21DC" w:rsidRDefault="00C55605" w:rsidP="00180643">
      <w:pPr>
        <w:rPr>
          <w:lang w:val="en-GB"/>
        </w:rPr>
      </w:pPr>
    </w:p>
    <w:p w:rsidR="00C55605" w:rsidRPr="001C21DC" w:rsidRDefault="00C55605" w:rsidP="00C55605">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At the outset, the Panel notes that it is apparent from the investigative file that in April 2000 UNMIK Police had received an intelligence report according to which the complainants’ family members, </w:t>
      </w:r>
      <w:r w:rsidR="00474504" w:rsidRPr="001C21DC">
        <w:rPr>
          <w:lang w:val="en-GB"/>
        </w:rPr>
        <w:t>M.V., M.Đ. and D.S</w:t>
      </w:r>
      <w:r w:rsidRPr="001C21DC">
        <w:rPr>
          <w:lang w:val="en-GB" w:eastAsia="en-US"/>
        </w:rPr>
        <w:t xml:space="preserve">., </w:t>
      </w:r>
      <w:r w:rsidRPr="001C21DC">
        <w:rPr>
          <w:lang w:val="en-GB"/>
        </w:rPr>
        <w:t xml:space="preserve">had been abducted by a named person and were being at that time illegally detained in a KLA prison in “Racak-Stimlje” municipality (see § </w:t>
      </w:r>
      <w:r w:rsidR="00401775" w:rsidRPr="001C21DC">
        <w:rPr>
          <w:lang w:val="en-GB"/>
        </w:rPr>
        <w:t>41</w:t>
      </w:r>
      <w:r w:rsidRPr="001C21DC">
        <w:rPr>
          <w:lang w:val="en-GB"/>
        </w:rPr>
        <w:t xml:space="preserve"> above). The same report contained information that other named persons were “detained against their will” in 111 KLA “concentration camps” and provided indication of their location and, in some instances, of the KLA members in charge. The Panel </w:t>
      </w:r>
      <w:r w:rsidRPr="001C21DC">
        <w:rPr>
          <w:rStyle w:val="sb8d990e2"/>
        </w:rPr>
        <w:t>notes</w:t>
      </w:r>
      <w:r w:rsidRPr="001C21DC">
        <w:rPr>
          <w:lang w:val="en-GB"/>
        </w:rPr>
        <w:t xml:space="preserve"> with concern that it is not clear from the investigative file which actions</w:t>
      </w:r>
      <w:r w:rsidR="00104E19" w:rsidRPr="001C21DC">
        <w:rPr>
          <w:lang w:val="en-GB"/>
        </w:rPr>
        <w:t>, if any,</w:t>
      </w:r>
      <w:r w:rsidRPr="001C21DC">
        <w:rPr>
          <w:lang w:val="en-GB"/>
        </w:rPr>
        <w:t xml:space="preserve"> were taken by the UNMIK Police to verify or follow-up on this information, not only wit</w:t>
      </w:r>
      <w:r w:rsidR="0011687A" w:rsidRPr="001C21DC">
        <w:rPr>
          <w:lang w:val="en-GB"/>
        </w:rPr>
        <w:t xml:space="preserve">h respect to the case of </w:t>
      </w:r>
      <w:r w:rsidR="00474504" w:rsidRPr="001C21DC">
        <w:rPr>
          <w:lang w:val="en-GB"/>
        </w:rPr>
        <w:t>M.V., M.Đ. and D.S.</w:t>
      </w:r>
      <w:r w:rsidR="00E35F7E" w:rsidRPr="001C21DC">
        <w:rPr>
          <w:lang w:val="en-GB" w:eastAsia="en-US"/>
        </w:rPr>
        <w:t>,</w:t>
      </w:r>
      <w:r w:rsidRPr="001C21DC">
        <w:rPr>
          <w:lang w:val="en-GB"/>
        </w:rPr>
        <w:t xml:space="preserve"> but also with respect to a wider investigation involving a possible pattern of abductions and illegal detentions by the KLA throughout Kosovo and northern Albania.   </w:t>
      </w:r>
    </w:p>
    <w:p w:rsidR="00655FA5" w:rsidRPr="001C21DC" w:rsidRDefault="00655FA5" w:rsidP="00655FA5">
      <w:pPr>
        <w:pStyle w:val="ListParagraph"/>
        <w:rPr>
          <w:lang w:val="en-GB" w:eastAsia="en-US"/>
        </w:rPr>
      </w:pPr>
    </w:p>
    <w:p w:rsidR="008E7019" w:rsidRPr="001C21DC" w:rsidRDefault="00474504"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eastAsia="en-US"/>
        </w:rPr>
        <w:t xml:space="preserve">The Panel notes that </w:t>
      </w:r>
      <w:r w:rsidR="00C00C0D" w:rsidRPr="001C21DC">
        <w:rPr>
          <w:lang w:val="en-GB" w:eastAsia="en-US"/>
        </w:rPr>
        <w:t xml:space="preserve">efforts were reportedly made by the KFOR to locate the whereabouts of </w:t>
      </w:r>
      <w:r w:rsidRPr="001C21DC">
        <w:rPr>
          <w:lang w:val="en-GB"/>
        </w:rPr>
        <w:t>M.V., M.Đ. and D.S</w:t>
      </w:r>
      <w:r w:rsidR="00C00C0D" w:rsidRPr="001C21DC">
        <w:rPr>
          <w:lang w:val="en-GB" w:eastAsia="en-US"/>
        </w:rPr>
        <w:t>. immediately after their abduction. The Panel also notes that</w:t>
      </w:r>
      <w:r w:rsidR="009630D5" w:rsidRPr="001C21DC">
        <w:rPr>
          <w:lang w:val="en-GB" w:eastAsia="en-US"/>
        </w:rPr>
        <w:t xml:space="preserve"> for about four years</w:t>
      </w:r>
      <w:r w:rsidR="00C00C0D" w:rsidRPr="001C21DC">
        <w:rPr>
          <w:lang w:val="en-GB" w:eastAsia="en-US"/>
        </w:rPr>
        <w:t xml:space="preserve"> until </w:t>
      </w:r>
      <w:r w:rsidR="00611411" w:rsidRPr="001C21DC">
        <w:rPr>
          <w:lang w:val="en-GB" w:eastAsia="en-US"/>
        </w:rPr>
        <w:t xml:space="preserve">the </w:t>
      </w:r>
      <w:r w:rsidR="009B44CE" w:rsidRPr="001C21DC">
        <w:rPr>
          <w:lang w:val="en-GB" w:eastAsia="en-US"/>
        </w:rPr>
        <w:t>re</w:t>
      </w:r>
      <w:r w:rsidR="00026A70" w:rsidRPr="001C21DC">
        <w:rPr>
          <w:lang w:val="en-GB" w:eastAsia="en-US"/>
        </w:rPr>
        <w:t>-</w:t>
      </w:r>
      <w:r w:rsidR="00611411" w:rsidRPr="001C21DC">
        <w:rPr>
          <w:lang w:val="en-GB" w:eastAsia="en-US"/>
        </w:rPr>
        <w:t xml:space="preserve">exhumation of unidentified bodies in </w:t>
      </w:r>
      <w:r w:rsidR="00C00C0D" w:rsidRPr="001C21DC">
        <w:rPr>
          <w:lang w:val="en-GB" w:eastAsia="en-US"/>
        </w:rPr>
        <w:t>June 2003, no significant step was taken by UNMIK Police, apart from the registration of the case as a missing p</w:t>
      </w:r>
      <w:r w:rsidR="009B44CE" w:rsidRPr="001C21DC">
        <w:rPr>
          <w:lang w:val="en-GB" w:eastAsia="en-US"/>
        </w:rPr>
        <w:t>erson file in 1999,</w:t>
      </w:r>
      <w:r w:rsidR="00C00C0D" w:rsidRPr="001C21DC">
        <w:rPr>
          <w:lang w:val="en-GB" w:eastAsia="en-US"/>
        </w:rPr>
        <w:t xml:space="preserve"> the collection of ante-mortem information fr</w:t>
      </w:r>
      <w:r w:rsidR="0011687A" w:rsidRPr="001C21DC">
        <w:rPr>
          <w:lang w:val="en-GB" w:eastAsia="en-US"/>
        </w:rPr>
        <w:t xml:space="preserve">om </w:t>
      </w:r>
      <w:r w:rsidR="00401775" w:rsidRPr="001C21DC">
        <w:rPr>
          <w:lang w:val="en-GB" w:eastAsia="en-US"/>
        </w:rPr>
        <w:t>M.Đ.</w:t>
      </w:r>
      <w:r w:rsidR="0011687A" w:rsidRPr="001C21DC">
        <w:rPr>
          <w:lang w:val="en-GB" w:eastAsia="en-US"/>
        </w:rPr>
        <w:t xml:space="preserve">’s daughter, </w:t>
      </w:r>
      <w:r w:rsidR="00C00C0D" w:rsidRPr="001C21DC">
        <w:rPr>
          <w:lang w:val="en-GB" w:eastAsia="en-US"/>
        </w:rPr>
        <w:t xml:space="preserve">in November 2000, </w:t>
      </w:r>
      <w:r w:rsidR="0011687A" w:rsidRPr="001C21DC">
        <w:rPr>
          <w:lang w:val="en-GB" w:eastAsia="en-US"/>
        </w:rPr>
        <w:t>and from the ICRC, in April 2002 (</w:t>
      </w:r>
      <w:r w:rsidR="00C00C0D" w:rsidRPr="001C21DC">
        <w:rPr>
          <w:lang w:val="en-GB" w:eastAsia="en-US"/>
        </w:rPr>
        <w:t>see</w:t>
      </w:r>
      <w:r w:rsidR="009B44CE" w:rsidRPr="001C21DC">
        <w:rPr>
          <w:lang w:val="en-GB" w:eastAsia="en-US"/>
        </w:rPr>
        <w:t xml:space="preserve"> §</w:t>
      </w:r>
      <w:r w:rsidR="00C00C0D" w:rsidRPr="001C21DC">
        <w:rPr>
          <w:lang w:val="en-GB" w:eastAsia="en-US"/>
        </w:rPr>
        <w:t xml:space="preserve"> </w:t>
      </w:r>
      <w:r w:rsidR="00401775" w:rsidRPr="001C21DC">
        <w:rPr>
          <w:lang w:val="en-GB" w:eastAsia="en-US"/>
        </w:rPr>
        <w:t>37</w:t>
      </w:r>
      <w:r w:rsidR="009B44CE" w:rsidRPr="001C21DC">
        <w:rPr>
          <w:lang w:val="en-GB" w:eastAsia="en-US"/>
        </w:rPr>
        <w:t xml:space="preserve"> </w:t>
      </w:r>
      <w:r w:rsidR="00C00C0D" w:rsidRPr="001C21DC">
        <w:rPr>
          <w:lang w:val="en-GB" w:eastAsia="en-US"/>
        </w:rPr>
        <w:t xml:space="preserve">above). </w:t>
      </w:r>
    </w:p>
    <w:p w:rsidR="008E7019" w:rsidRPr="001C21DC" w:rsidRDefault="008E7019" w:rsidP="008E7019">
      <w:pPr>
        <w:pStyle w:val="ListParagraph"/>
        <w:rPr>
          <w:lang w:val="en-GB"/>
        </w:rPr>
      </w:pPr>
    </w:p>
    <w:p w:rsidR="00620A98" w:rsidRPr="001C21DC" w:rsidRDefault="00C55605"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w:t>
      </w:r>
      <w:r w:rsidR="00F303B9" w:rsidRPr="001C21DC">
        <w:rPr>
          <w:lang w:val="en-GB"/>
        </w:rPr>
        <w:t>document mentioned in § 43 above</w:t>
      </w:r>
      <w:r w:rsidR="00655FA5" w:rsidRPr="001C21DC">
        <w:rPr>
          <w:lang w:val="en-GB"/>
        </w:rPr>
        <w:t xml:space="preserve"> shows that, at the latest by October 2003, </w:t>
      </w:r>
      <w:r w:rsidR="00F303B9" w:rsidRPr="001C21DC">
        <w:rPr>
          <w:lang w:val="en-GB"/>
        </w:rPr>
        <w:t xml:space="preserve">the </w:t>
      </w:r>
      <w:r w:rsidR="00655FA5" w:rsidRPr="001C21DC">
        <w:rPr>
          <w:lang w:val="en-GB"/>
        </w:rPr>
        <w:t xml:space="preserve">UNMIK DoJ had </w:t>
      </w:r>
      <w:r w:rsidR="006710FD" w:rsidRPr="001C21DC">
        <w:rPr>
          <w:lang w:val="en-GB"/>
        </w:rPr>
        <w:t>received information from eye-witnesses, all former</w:t>
      </w:r>
      <w:r w:rsidR="00F303B9" w:rsidRPr="001C21DC">
        <w:rPr>
          <w:lang w:val="en-GB"/>
        </w:rPr>
        <w:t xml:space="preserve"> KLA members, about captives</w:t>
      </w:r>
      <w:r w:rsidR="006710FD" w:rsidRPr="001C21DC">
        <w:rPr>
          <w:lang w:val="en-GB"/>
        </w:rPr>
        <w:t xml:space="preserve"> -</w:t>
      </w:r>
      <w:r w:rsidR="00655FA5" w:rsidRPr="001C21DC">
        <w:rPr>
          <w:lang w:val="en-GB"/>
        </w:rPr>
        <w:t xml:space="preserve"> among them </w:t>
      </w:r>
      <w:r w:rsidR="00F303B9" w:rsidRPr="001C21DC">
        <w:rPr>
          <w:lang w:val="en-GB"/>
        </w:rPr>
        <w:t>M.V., M.Đ. and D.S.</w:t>
      </w:r>
      <w:r w:rsidR="00655FA5" w:rsidRPr="001C21DC">
        <w:rPr>
          <w:lang w:val="en-GB"/>
        </w:rPr>
        <w:t>.</w:t>
      </w:r>
      <w:r w:rsidR="006710FD" w:rsidRPr="001C21DC">
        <w:rPr>
          <w:lang w:val="en-GB"/>
        </w:rPr>
        <w:t xml:space="preserve"> - w</w:t>
      </w:r>
      <w:r w:rsidR="00F303B9" w:rsidRPr="001C21DC">
        <w:rPr>
          <w:lang w:val="en-GB"/>
        </w:rPr>
        <w:t>ho had been taken</w:t>
      </w:r>
      <w:r w:rsidR="006710FD" w:rsidRPr="001C21DC">
        <w:rPr>
          <w:lang w:val="en-GB"/>
        </w:rPr>
        <w:t xml:space="preserve"> to illegal detention centres</w:t>
      </w:r>
      <w:r w:rsidR="00655FA5" w:rsidRPr="001C21DC">
        <w:rPr>
          <w:lang w:val="en-GB"/>
        </w:rPr>
        <w:t xml:space="preserve"> in Alba</w:t>
      </w:r>
      <w:r w:rsidR="006710FD" w:rsidRPr="001C21DC">
        <w:rPr>
          <w:lang w:val="en-GB"/>
        </w:rPr>
        <w:t>nia</w:t>
      </w:r>
      <w:r w:rsidR="001109DE" w:rsidRPr="001C21DC">
        <w:rPr>
          <w:lang w:val="en-GB"/>
        </w:rPr>
        <w:t>, reportedly</w:t>
      </w:r>
      <w:r w:rsidR="00655FA5" w:rsidRPr="001C21DC">
        <w:rPr>
          <w:lang w:val="en-GB"/>
        </w:rPr>
        <w:t xml:space="preserve"> </w:t>
      </w:r>
      <w:r w:rsidR="006710FD" w:rsidRPr="001C21DC">
        <w:rPr>
          <w:lang w:val="en-GB"/>
        </w:rPr>
        <w:t>for the purpose of having their organs</w:t>
      </w:r>
      <w:r w:rsidR="001109DE" w:rsidRPr="001C21DC">
        <w:rPr>
          <w:lang w:val="en-GB"/>
        </w:rPr>
        <w:t xml:space="preserve"> </w:t>
      </w:r>
      <w:r w:rsidR="00F303B9" w:rsidRPr="001C21DC">
        <w:rPr>
          <w:lang w:val="en-GB"/>
        </w:rPr>
        <w:t>harvested</w:t>
      </w:r>
      <w:r w:rsidR="009B44CE" w:rsidRPr="001C21DC">
        <w:rPr>
          <w:lang w:val="en-GB"/>
        </w:rPr>
        <w:t xml:space="preserve"> (see §§ </w:t>
      </w:r>
      <w:r w:rsidR="00F303B9" w:rsidRPr="001C21DC">
        <w:rPr>
          <w:lang w:val="en-GB"/>
        </w:rPr>
        <w:t>43</w:t>
      </w:r>
      <w:r w:rsidR="009B44CE" w:rsidRPr="001C21DC">
        <w:rPr>
          <w:lang w:val="en-GB"/>
        </w:rPr>
        <w:t>-</w:t>
      </w:r>
      <w:r w:rsidR="00F303B9" w:rsidRPr="001C21DC">
        <w:rPr>
          <w:lang w:val="en-GB"/>
        </w:rPr>
        <w:t>44</w:t>
      </w:r>
      <w:r w:rsidR="009B44CE" w:rsidRPr="001C21DC">
        <w:rPr>
          <w:lang w:val="en-GB"/>
        </w:rPr>
        <w:t>)</w:t>
      </w:r>
      <w:r w:rsidR="001109DE" w:rsidRPr="001C21DC">
        <w:rPr>
          <w:lang w:val="en-GB"/>
        </w:rPr>
        <w:t xml:space="preserve">. </w:t>
      </w:r>
      <w:r w:rsidR="008E7019" w:rsidRPr="001C21DC">
        <w:rPr>
          <w:lang w:val="en-GB" w:eastAsia="en-US"/>
        </w:rPr>
        <w:t xml:space="preserve">There is no indication in the file of the actions taken by UNMIK to further investigate these most serious allegations apart from transmitting the information to the ICTY in 2003. The Panel is extremely concerned that so little effort was made to investigate and give effect to the right to truth to these particularly shocking allegations.  </w:t>
      </w:r>
    </w:p>
    <w:p w:rsidR="00180643" w:rsidRPr="001C21DC" w:rsidRDefault="00180643" w:rsidP="00026A70">
      <w:pPr>
        <w:autoSpaceDE w:val="0"/>
        <w:jc w:val="both"/>
        <w:rPr>
          <w:color w:val="000000"/>
          <w:lang w:val="en-GB"/>
        </w:rPr>
      </w:pPr>
    </w:p>
    <w:p w:rsidR="008F1730" w:rsidRPr="001C21DC" w:rsidRDefault="00611411" w:rsidP="00620A98">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I</w:t>
      </w:r>
      <w:r w:rsidR="008F1730" w:rsidRPr="001C21DC">
        <w:rPr>
          <w:color w:val="000000"/>
          <w:lang w:val="en-GB" w:eastAsia="en-US"/>
        </w:rPr>
        <w:t xml:space="preserve">n June 2003, the UNMIK OMPF re-exhumed </w:t>
      </w:r>
      <w:r w:rsidR="004C3875" w:rsidRPr="001C21DC">
        <w:rPr>
          <w:color w:val="000000"/>
          <w:lang w:val="en-GB" w:eastAsia="en-US"/>
        </w:rPr>
        <w:t xml:space="preserve">and carried out autopsies </w:t>
      </w:r>
      <w:r w:rsidR="008F1730" w:rsidRPr="001C21DC">
        <w:rPr>
          <w:color w:val="000000"/>
          <w:lang w:val="en-GB" w:eastAsia="en-US"/>
        </w:rPr>
        <w:t>for</w:t>
      </w:r>
      <w:r w:rsidR="004C3875" w:rsidRPr="001C21DC">
        <w:rPr>
          <w:color w:val="000000"/>
          <w:lang w:val="en-GB" w:eastAsia="en-US"/>
        </w:rPr>
        <w:t xml:space="preserve"> identification p</w:t>
      </w:r>
      <w:r w:rsidR="008F1730" w:rsidRPr="001C21DC">
        <w:rPr>
          <w:color w:val="000000"/>
          <w:lang w:val="en-GB" w:eastAsia="en-US"/>
        </w:rPr>
        <w:t>urpose</w:t>
      </w:r>
      <w:r w:rsidR="004C3875" w:rsidRPr="001C21DC">
        <w:rPr>
          <w:color w:val="000000"/>
          <w:lang w:val="en-GB" w:eastAsia="en-US"/>
        </w:rPr>
        <w:t>s on</w:t>
      </w:r>
      <w:r w:rsidR="008F1730" w:rsidRPr="001C21DC">
        <w:rPr>
          <w:color w:val="000000"/>
          <w:lang w:val="en-GB" w:eastAsia="en-US"/>
        </w:rPr>
        <w:t xml:space="preserve"> several unidentified bodies </w:t>
      </w:r>
      <w:r w:rsidR="004C3875" w:rsidRPr="001C21DC">
        <w:rPr>
          <w:color w:val="000000"/>
          <w:lang w:val="en-GB" w:eastAsia="en-US"/>
        </w:rPr>
        <w:t xml:space="preserve">– among those the mortal remains later identified as those of </w:t>
      </w:r>
      <w:r w:rsidR="00F303B9" w:rsidRPr="001C21DC">
        <w:rPr>
          <w:lang w:val="en-GB"/>
        </w:rPr>
        <w:t xml:space="preserve">M.V., M.Đ. and D.S. </w:t>
      </w:r>
      <w:r w:rsidR="00DE33C3" w:rsidRPr="001C21DC">
        <w:rPr>
          <w:lang w:val="en-GB" w:eastAsia="en-US"/>
        </w:rPr>
        <w:t xml:space="preserve">– </w:t>
      </w:r>
      <w:r w:rsidR="008F1730" w:rsidRPr="001C21DC">
        <w:rPr>
          <w:color w:val="000000"/>
          <w:lang w:val="en-GB" w:eastAsia="en-US"/>
        </w:rPr>
        <w:t xml:space="preserve">which had been previously exhumed and re-buried by the ICTY in the “Dragodan” cemetery in Prishtinë/Priština. </w:t>
      </w:r>
      <w:r w:rsidR="004C3875" w:rsidRPr="001C21DC">
        <w:rPr>
          <w:color w:val="000000"/>
          <w:lang w:val="en-GB" w:eastAsia="en-US"/>
        </w:rPr>
        <w:t>Between October and November 2004, only the mortal remains of D.S., were</w:t>
      </w:r>
      <w:r w:rsidR="008F1730" w:rsidRPr="001C21DC">
        <w:rPr>
          <w:color w:val="000000"/>
          <w:lang w:val="en-GB" w:eastAsia="en-US"/>
        </w:rPr>
        <w:t xml:space="preserve"> identified</w:t>
      </w:r>
      <w:r w:rsidR="004C3875" w:rsidRPr="001C21DC">
        <w:rPr>
          <w:color w:val="000000"/>
          <w:lang w:val="en-GB" w:eastAsia="en-US"/>
        </w:rPr>
        <w:t xml:space="preserve"> through DNA test and handed over to his family.</w:t>
      </w:r>
    </w:p>
    <w:p w:rsidR="004C3875" w:rsidRPr="001C21DC" w:rsidRDefault="004C3875" w:rsidP="004C3875">
      <w:pPr>
        <w:pStyle w:val="ListParagraph"/>
        <w:rPr>
          <w:color w:val="000000"/>
          <w:lang w:val="en-GB" w:eastAsia="en-US"/>
        </w:rPr>
      </w:pPr>
    </w:p>
    <w:p w:rsidR="00C7353B" w:rsidRPr="001C21DC" w:rsidRDefault="00611411"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The only relevant investigative act</w:t>
      </w:r>
      <w:r w:rsidR="009B44CE" w:rsidRPr="001C21DC">
        <w:rPr>
          <w:color w:val="000000"/>
          <w:lang w:val="en-GB" w:eastAsia="en-US"/>
        </w:rPr>
        <w:t xml:space="preserve">ivity undertaken </w:t>
      </w:r>
      <w:r w:rsidRPr="001C21DC">
        <w:rPr>
          <w:color w:val="000000"/>
          <w:lang w:val="en-GB" w:eastAsia="en-US"/>
        </w:rPr>
        <w:t>by</w:t>
      </w:r>
      <w:r w:rsidR="009B44CE" w:rsidRPr="001C21DC">
        <w:rPr>
          <w:color w:val="000000"/>
          <w:lang w:val="en-GB" w:eastAsia="en-US"/>
        </w:rPr>
        <w:t xml:space="preserve"> the</w:t>
      </w:r>
      <w:r w:rsidRPr="001C21DC">
        <w:rPr>
          <w:color w:val="000000"/>
          <w:lang w:val="en-GB" w:eastAsia="en-US"/>
        </w:rPr>
        <w:t xml:space="preserve"> UNMIK Police</w:t>
      </w:r>
      <w:r w:rsidR="009B44CE" w:rsidRPr="001C21DC">
        <w:rPr>
          <w:color w:val="000000"/>
          <w:lang w:val="en-GB" w:eastAsia="en-US"/>
        </w:rPr>
        <w:t xml:space="preserve"> in 2004</w:t>
      </w:r>
      <w:r w:rsidRPr="001C21DC">
        <w:rPr>
          <w:color w:val="000000"/>
          <w:lang w:val="en-GB" w:eastAsia="en-US"/>
        </w:rPr>
        <w:t xml:space="preserve"> was th</w:t>
      </w:r>
      <w:r w:rsidR="00F303B9" w:rsidRPr="001C21DC">
        <w:rPr>
          <w:color w:val="000000"/>
          <w:lang w:val="en-GB" w:eastAsia="en-US"/>
        </w:rPr>
        <w:t>e collection of the statement from</w:t>
      </w:r>
      <w:r w:rsidRPr="001C21DC">
        <w:rPr>
          <w:color w:val="000000"/>
          <w:lang w:val="en-GB" w:eastAsia="en-US"/>
        </w:rPr>
        <w:t xml:space="preserve"> a witness, who was working with the British KFOR at the time the abduction</w:t>
      </w:r>
      <w:r w:rsidR="00F303B9" w:rsidRPr="001C21DC">
        <w:rPr>
          <w:color w:val="000000"/>
          <w:lang w:val="en-GB" w:eastAsia="en-US"/>
        </w:rPr>
        <w:t>s were</w:t>
      </w:r>
      <w:r w:rsidRPr="001C21DC">
        <w:rPr>
          <w:color w:val="000000"/>
          <w:lang w:val="en-GB" w:eastAsia="en-US"/>
        </w:rPr>
        <w:t xml:space="preserve"> reported to them. This witness</w:t>
      </w:r>
      <w:r w:rsidR="00095A40" w:rsidRPr="001C21DC">
        <w:rPr>
          <w:color w:val="000000"/>
          <w:lang w:val="en-GB" w:eastAsia="en-US"/>
        </w:rPr>
        <w:t xml:space="preserve"> stated that</w:t>
      </w:r>
      <w:r w:rsidR="009B44CE" w:rsidRPr="001C21DC">
        <w:rPr>
          <w:color w:val="000000"/>
          <w:lang w:val="en-GB" w:eastAsia="en-US"/>
        </w:rPr>
        <w:t>,</w:t>
      </w:r>
      <w:r w:rsidR="00095A40" w:rsidRPr="001C21DC">
        <w:rPr>
          <w:color w:val="000000"/>
          <w:lang w:val="en-GB" w:eastAsia="en-US"/>
        </w:rPr>
        <w:t xml:space="preserve"> two days after the e</w:t>
      </w:r>
      <w:r w:rsidR="009B44CE" w:rsidRPr="001C21DC">
        <w:rPr>
          <w:color w:val="000000"/>
          <w:lang w:val="en-GB" w:eastAsia="en-US"/>
        </w:rPr>
        <w:t>vent, the sister and the brother-in-</w:t>
      </w:r>
      <w:r w:rsidR="00095A40" w:rsidRPr="001C21DC">
        <w:rPr>
          <w:color w:val="000000"/>
          <w:lang w:val="en-GB" w:eastAsia="en-US"/>
        </w:rPr>
        <w:t>law of one of the victims (</w:t>
      </w:r>
      <w:r w:rsidR="009B44CE" w:rsidRPr="001C21DC">
        <w:rPr>
          <w:color w:val="000000"/>
          <w:lang w:val="en-GB" w:eastAsia="en-US"/>
        </w:rPr>
        <w:t xml:space="preserve">only the </w:t>
      </w:r>
      <w:r w:rsidR="00095A40" w:rsidRPr="001C21DC">
        <w:rPr>
          <w:color w:val="000000"/>
          <w:lang w:val="en-GB" w:eastAsia="en-US"/>
        </w:rPr>
        <w:t>surname of the latter</w:t>
      </w:r>
      <w:r w:rsidR="009B44CE" w:rsidRPr="001C21DC">
        <w:rPr>
          <w:color w:val="000000"/>
          <w:lang w:val="en-GB" w:eastAsia="en-US"/>
        </w:rPr>
        <w:t xml:space="preserve"> was</w:t>
      </w:r>
      <w:r w:rsidR="00095A40" w:rsidRPr="001C21DC">
        <w:rPr>
          <w:color w:val="000000"/>
          <w:lang w:val="en-GB" w:eastAsia="en-US"/>
        </w:rPr>
        <w:t xml:space="preserve"> provided) had reported the abduction to the KFOR indicating to them the place where the victims were reportedly detained.</w:t>
      </w:r>
      <w:r w:rsidR="009B44CE" w:rsidRPr="001C21DC">
        <w:rPr>
          <w:color w:val="000000"/>
          <w:lang w:val="en-GB" w:eastAsia="en-US"/>
        </w:rPr>
        <w:t xml:space="preserve"> The KFOR</w:t>
      </w:r>
      <w:r w:rsidR="00095A40" w:rsidRPr="001C21DC">
        <w:rPr>
          <w:color w:val="000000"/>
          <w:lang w:val="en-GB" w:eastAsia="en-US"/>
        </w:rPr>
        <w:t xml:space="preserve"> located the alleged place of detention, where they found signs there that it had been abandoned shortly before their arrival. The witness stated that they had been most likely moved to another detention centre, the so called “KLA Polic</w:t>
      </w:r>
      <w:r w:rsidR="009B44CE" w:rsidRPr="001C21DC">
        <w:rPr>
          <w:color w:val="000000"/>
          <w:lang w:val="en-GB" w:eastAsia="en-US"/>
        </w:rPr>
        <w:t>e S</w:t>
      </w:r>
      <w:r w:rsidR="00095A40" w:rsidRPr="001C21DC">
        <w:rPr>
          <w:color w:val="000000"/>
          <w:lang w:val="en-GB" w:eastAsia="en-US"/>
        </w:rPr>
        <w:t>tation” in Lipjan/Lipljan, where, how</w:t>
      </w:r>
      <w:r w:rsidR="009B44CE" w:rsidRPr="001C21DC">
        <w:rPr>
          <w:color w:val="000000"/>
          <w:lang w:val="en-GB" w:eastAsia="en-US"/>
        </w:rPr>
        <w:t>ever, KFOR were not allowed in.</w:t>
      </w:r>
      <w:r w:rsidR="00095A40" w:rsidRPr="001C21DC">
        <w:rPr>
          <w:color w:val="000000"/>
          <w:lang w:val="en-GB" w:eastAsia="en-US"/>
        </w:rPr>
        <w:t xml:space="preserve"> He also stated </w:t>
      </w:r>
      <w:r w:rsidR="00F303B9" w:rsidRPr="001C21DC">
        <w:rPr>
          <w:color w:val="000000"/>
          <w:lang w:val="en-GB" w:eastAsia="en-US"/>
        </w:rPr>
        <w:t xml:space="preserve">that </w:t>
      </w:r>
      <w:r w:rsidR="00095A40" w:rsidRPr="001C21DC">
        <w:rPr>
          <w:color w:val="000000"/>
          <w:lang w:val="en-GB" w:eastAsia="en-US"/>
        </w:rPr>
        <w:t>he knew the</w:t>
      </w:r>
      <w:r w:rsidR="009B44CE" w:rsidRPr="001C21DC">
        <w:rPr>
          <w:color w:val="000000"/>
          <w:lang w:val="en-GB" w:eastAsia="en-US"/>
        </w:rPr>
        <w:t xml:space="preserve"> KLA members managing the “KLA Police S</w:t>
      </w:r>
      <w:r w:rsidR="00095A40" w:rsidRPr="001C21DC">
        <w:rPr>
          <w:color w:val="000000"/>
          <w:lang w:val="en-GB" w:eastAsia="en-US"/>
        </w:rPr>
        <w:t>tation”; that most of them had become KPS officers and that he was eager to provide their names to the UNMIK Police. The file shows that this statement was transmitted to the UNMIK CCIU. However, there is no</w:t>
      </w:r>
      <w:r w:rsidR="00C7353B" w:rsidRPr="001C21DC">
        <w:rPr>
          <w:color w:val="000000"/>
          <w:lang w:val="en-GB" w:eastAsia="en-US"/>
        </w:rPr>
        <w:t xml:space="preserve"> indication in the file that any</w:t>
      </w:r>
      <w:r w:rsidR="00095A40" w:rsidRPr="001C21DC">
        <w:rPr>
          <w:color w:val="000000"/>
          <w:lang w:val="en-GB" w:eastAsia="en-US"/>
        </w:rPr>
        <w:t xml:space="preserve"> follow-up </w:t>
      </w:r>
      <w:r w:rsidR="00C7353B" w:rsidRPr="001C21DC">
        <w:rPr>
          <w:color w:val="000000"/>
          <w:lang w:val="en-GB" w:eastAsia="en-US"/>
        </w:rPr>
        <w:t>activity was made on</w:t>
      </w:r>
      <w:r w:rsidR="00095A40" w:rsidRPr="001C21DC">
        <w:rPr>
          <w:color w:val="000000"/>
          <w:lang w:val="en-GB" w:eastAsia="en-US"/>
        </w:rPr>
        <w:t xml:space="preserve"> the witness</w:t>
      </w:r>
      <w:r w:rsidR="00C7353B" w:rsidRPr="001C21DC">
        <w:rPr>
          <w:color w:val="000000"/>
          <w:lang w:val="en-GB" w:eastAsia="en-US"/>
        </w:rPr>
        <w:t xml:space="preserve"> statement</w:t>
      </w:r>
      <w:r w:rsidR="00095A40" w:rsidRPr="001C21DC">
        <w:rPr>
          <w:color w:val="000000"/>
          <w:lang w:val="en-GB" w:eastAsia="en-US"/>
        </w:rPr>
        <w:t xml:space="preserve">, </w:t>
      </w:r>
      <w:r w:rsidR="00E5405A" w:rsidRPr="001C21DC">
        <w:rPr>
          <w:color w:val="000000"/>
          <w:lang w:val="en-GB" w:eastAsia="en-US"/>
        </w:rPr>
        <w:t>notably</w:t>
      </w:r>
      <w:r w:rsidR="00C7353B" w:rsidRPr="001C21DC">
        <w:rPr>
          <w:color w:val="000000"/>
          <w:lang w:val="en-GB" w:eastAsia="en-US"/>
        </w:rPr>
        <w:t xml:space="preserve"> </w:t>
      </w:r>
      <w:r w:rsidR="00095A40" w:rsidRPr="001C21DC">
        <w:rPr>
          <w:color w:val="000000"/>
          <w:lang w:val="en-GB" w:eastAsia="en-US"/>
        </w:rPr>
        <w:t>to request him</w:t>
      </w:r>
      <w:r w:rsidR="00F303B9" w:rsidRPr="001C21DC">
        <w:rPr>
          <w:color w:val="000000"/>
          <w:lang w:val="en-GB" w:eastAsia="en-US"/>
        </w:rPr>
        <w:t xml:space="preserve"> to provide</w:t>
      </w:r>
      <w:r w:rsidR="00095A40" w:rsidRPr="001C21DC">
        <w:rPr>
          <w:color w:val="000000"/>
          <w:lang w:val="en-GB" w:eastAsia="en-US"/>
        </w:rPr>
        <w:t xml:space="preserve"> the names of the KLA members possibly involved in the</w:t>
      </w:r>
      <w:r w:rsidR="009B44CE" w:rsidRPr="001C21DC">
        <w:rPr>
          <w:color w:val="000000"/>
          <w:lang w:val="en-GB" w:eastAsia="en-US"/>
        </w:rPr>
        <w:t xml:space="preserve"> abduction</w:t>
      </w:r>
      <w:r w:rsidR="00F303B9" w:rsidRPr="001C21DC">
        <w:rPr>
          <w:color w:val="000000"/>
          <w:lang w:val="en-GB" w:eastAsia="en-US"/>
        </w:rPr>
        <w:t xml:space="preserve"> and detention</w:t>
      </w:r>
      <w:r w:rsidR="009B44CE" w:rsidRPr="001C21DC">
        <w:rPr>
          <w:color w:val="000000"/>
          <w:lang w:val="en-GB" w:eastAsia="en-US"/>
        </w:rPr>
        <w:t xml:space="preserve">. Moreover, </w:t>
      </w:r>
      <w:r w:rsidR="009B44CE" w:rsidRPr="001C21DC">
        <w:rPr>
          <w:lang w:val="en-GB" w:eastAsia="en-US"/>
        </w:rPr>
        <w:t>no attempt appears to have been made to record formally the statements from the complainants</w:t>
      </w:r>
      <w:r w:rsidR="00C7353B" w:rsidRPr="001C21DC">
        <w:rPr>
          <w:color w:val="000000"/>
          <w:lang w:val="en-GB" w:eastAsia="en-US"/>
        </w:rPr>
        <w:t xml:space="preserve"> or to contact t</w:t>
      </w:r>
      <w:r w:rsidR="00095A40" w:rsidRPr="001C21DC">
        <w:rPr>
          <w:color w:val="000000"/>
          <w:lang w:val="en-GB" w:eastAsia="en-US"/>
        </w:rPr>
        <w:t>he sister of the “</w:t>
      </w:r>
      <w:r w:rsidR="00C7353B" w:rsidRPr="001C21DC">
        <w:rPr>
          <w:color w:val="000000"/>
          <w:lang w:val="en-GB" w:eastAsia="en-US"/>
        </w:rPr>
        <w:t xml:space="preserve">kidnapped” who had at the time of the abduction </w:t>
      </w:r>
      <w:r w:rsidR="00095A40" w:rsidRPr="001C21DC">
        <w:rPr>
          <w:color w:val="000000"/>
          <w:lang w:val="en-GB" w:eastAsia="en-US"/>
        </w:rPr>
        <w:t>provide</w:t>
      </w:r>
      <w:r w:rsidR="00C7353B" w:rsidRPr="001C21DC">
        <w:rPr>
          <w:color w:val="000000"/>
          <w:lang w:val="en-GB" w:eastAsia="en-US"/>
        </w:rPr>
        <w:t>d the KFOR with information on a possible place of detention and may therefore have been able to provide additional lines of enquiry</w:t>
      </w:r>
      <w:r w:rsidR="00095A40" w:rsidRPr="001C21DC">
        <w:rPr>
          <w:color w:val="000000"/>
          <w:lang w:val="en-GB" w:eastAsia="en-US"/>
        </w:rPr>
        <w:t xml:space="preserve">. </w:t>
      </w:r>
    </w:p>
    <w:p w:rsidR="00C7353B" w:rsidRPr="001C21DC" w:rsidRDefault="00C7353B" w:rsidP="00C7353B">
      <w:pPr>
        <w:pStyle w:val="ListParagraph"/>
        <w:autoSpaceDE w:val="0"/>
        <w:ind w:left="450"/>
        <w:jc w:val="both"/>
        <w:rPr>
          <w:color w:val="000000"/>
          <w:lang w:val="en-GB" w:eastAsia="en-US"/>
        </w:rPr>
      </w:pPr>
    </w:p>
    <w:p w:rsidR="00C7353B"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A35A3">
        <w:fldChar w:fldCharType="begin"/>
      </w:r>
      <w:r w:rsidR="005A35A3">
        <w:instrText xml:space="preserve"> REF _Ref346123885 \r \h  \* MERGEFORMAT </w:instrText>
      </w:r>
      <w:r w:rsidR="005A35A3">
        <w:fldChar w:fldCharType="separate"/>
      </w:r>
      <w:r w:rsidR="00D0695D" w:rsidRPr="00D0695D">
        <w:rPr>
          <w:color w:val="000000"/>
          <w:lang w:val="en-GB"/>
        </w:rPr>
        <w:t>65</w:t>
      </w:r>
      <w:r w:rsidR="005A35A3">
        <w:fldChar w:fldCharType="end"/>
      </w:r>
      <w:r w:rsidRPr="001C21DC">
        <w:rPr>
          <w:color w:val="000000"/>
          <w:lang w:val="en-GB"/>
        </w:rPr>
        <w:t xml:space="preserve"> above), the assessment of the whole investigation is brought within the period of the Panel’s jurisdiction.</w:t>
      </w:r>
    </w:p>
    <w:p w:rsidR="00C7353B" w:rsidRPr="001C21DC" w:rsidRDefault="00C7353B" w:rsidP="00C7353B">
      <w:pPr>
        <w:autoSpaceDE w:val="0"/>
        <w:jc w:val="both"/>
        <w:rPr>
          <w:color w:val="000000"/>
          <w:lang w:val="en-GB"/>
        </w:rPr>
      </w:pPr>
    </w:p>
    <w:p w:rsidR="00C7353B" w:rsidRPr="001C21DC" w:rsidRDefault="0076188F"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A</w:t>
      </w:r>
      <w:r w:rsidR="00C7353B" w:rsidRPr="001C21DC">
        <w:rPr>
          <w:color w:val="000000"/>
          <w:lang w:val="en-GB"/>
        </w:rPr>
        <w:t>s the bodies o</w:t>
      </w:r>
      <w:r w:rsidR="00F303B9" w:rsidRPr="001C21DC">
        <w:rPr>
          <w:color w:val="000000"/>
          <w:lang w:val="en-GB"/>
        </w:rPr>
        <w:t>f M.V. and M.Đ.</w:t>
      </w:r>
      <w:r w:rsidR="00C7353B" w:rsidRPr="001C21DC">
        <w:rPr>
          <w:color w:val="000000"/>
          <w:lang w:val="en-GB"/>
        </w:rPr>
        <w:t xml:space="preserve"> had not yet been identified and those responsible for the abduction</w:t>
      </w:r>
      <w:r w:rsidR="0086321C" w:rsidRPr="001C21DC">
        <w:rPr>
          <w:color w:val="000000"/>
          <w:lang w:val="en-GB"/>
        </w:rPr>
        <w:t xml:space="preserve"> had not been located, UNMIK was obligated to use the means at its disposal to regularly review the progress of the investigation to ensure that nothing had been overlooked and any new evidence had been considered, as</w:t>
      </w:r>
      <w:r w:rsidR="0086321C" w:rsidRPr="001C21DC">
        <w:rPr>
          <w:lang w:val="en-GB"/>
        </w:rPr>
        <w:t xml:space="preserve"> well</w:t>
      </w:r>
      <w:r w:rsidR="0086321C" w:rsidRPr="001C21DC">
        <w:rPr>
          <w:b/>
          <w:color w:val="0000CC"/>
          <w:lang w:val="en-GB"/>
        </w:rPr>
        <w:t xml:space="preserve"> </w:t>
      </w:r>
      <w:r w:rsidR="0086321C" w:rsidRPr="001C21DC">
        <w:rPr>
          <w:lang w:val="en-GB"/>
        </w:rPr>
        <w:t>as to inform the relatives of</w:t>
      </w:r>
      <w:r w:rsidR="0086321C" w:rsidRPr="001C21DC">
        <w:rPr>
          <w:b/>
          <w:color w:val="0000CC"/>
          <w:lang w:val="en-GB"/>
        </w:rPr>
        <w:t xml:space="preserve"> </w:t>
      </w:r>
      <w:r w:rsidR="00F303B9" w:rsidRPr="001C21DC">
        <w:rPr>
          <w:lang w:val="en-GB"/>
        </w:rPr>
        <w:t>M.V., M.Đ. and D.S.</w:t>
      </w:r>
      <w:r w:rsidR="00C7353B" w:rsidRPr="001C21DC">
        <w:rPr>
          <w:color w:val="000000"/>
          <w:lang w:val="en-GB"/>
        </w:rPr>
        <w:t xml:space="preserve"> </w:t>
      </w:r>
      <w:r w:rsidR="0086321C" w:rsidRPr="001C21DC">
        <w:rPr>
          <w:color w:val="000000"/>
          <w:lang w:val="en-GB"/>
        </w:rPr>
        <w:t xml:space="preserve">regarding </w:t>
      </w:r>
      <w:r w:rsidR="00FE6E34" w:rsidRPr="001C21DC">
        <w:rPr>
          <w:color w:val="000000"/>
          <w:lang w:val="en-GB"/>
        </w:rPr>
        <w:t>the</w:t>
      </w:r>
      <w:r w:rsidRPr="001C21DC">
        <w:rPr>
          <w:color w:val="000000"/>
          <w:lang w:val="en-GB"/>
        </w:rPr>
        <w:t xml:space="preserve"> progress of the investigation.</w:t>
      </w:r>
      <w:r w:rsidR="0086321C" w:rsidRPr="001C21DC">
        <w:rPr>
          <w:color w:val="000000"/>
          <w:lang w:val="en-GB"/>
        </w:rPr>
        <w:t xml:space="preserve"> </w:t>
      </w:r>
    </w:p>
    <w:p w:rsidR="00C7353B" w:rsidRPr="001C21DC" w:rsidRDefault="00C7353B" w:rsidP="00C7353B">
      <w:pPr>
        <w:pStyle w:val="ListParagraph"/>
        <w:rPr>
          <w:color w:val="000000"/>
          <w:lang w:val="en-GB" w:eastAsia="en-US"/>
        </w:rPr>
      </w:pPr>
    </w:p>
    <w:p w:rsidR="00056605"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notes that at some time in 2005, following the filing of a criminal report by the brother of D.S., a criminal investigation was opened by the UNMIK WCIU </w:t>
      </w:r>
      <w:r w:rsidR="001F49C4" w:rsidRPr="001C21DC">
        <w:rPr>
          <w:color w:val="000000"/>
          <w:lang w:val="en-GB" w:eastAsia="en-US"/>
        </w:rPr>
        <w:t>under case file no. 2005-00076</w:t>
      </w:r>
      <w:r w:rsidR="00421106" w:rsidRPr="001C21DC">
        <w:rPr>
          <w:color w:val="000000"/>
          <w:lang w:val="en-GB" w:eastAsia="en-US"/>
        </w:rPr>
        <w:t xml:space="preserve">, notwithstanding </w:t>
      </w:r>
      <w:r w:rsidR="0019795E" w:rsidRPr="001C21DC">
        <w:rPr>
          <w:color w:val="000000"/>
          <w:lang w:val="en-GB" w:eastAsia="en-US"/>
        </w:rPr>
        <w:t xml:space="preserve">the fact that the abduction </w:t>
      </w:r>
      <w:r w:rsidR="00F303B9" w:rsidRPr="001C21DC">
        <w:rPr>
          <w:color w:val="000000"/>
          <w:lang w:val="en-GB" w:eastAsia="en-US"/>
        </w:rPr>
        <w:t xml:space="preserve">of M.V., M.Đ. and </w:t>
      </w:r>
      <w:r w:rsidR="00421106" w:rsidRPr="001C21DC">
        <w:rPr>
          <w:color w:val="000000"/>
          <w:lang w:val="en-GB" w:eastAsia="en-US"/>
        </w:rPr>
        <w:t>D.S. had already been recorded under</w:t>
      </w:r>
      <w:r w:rsidR="00401775" w:rsidRPr="001C21DC">
        <w:rPr>
          <w:color w:val="000000"/>
          <w:lang w:val="en-GB" w:eastAsia="en-US"/>
        </w:rPr>
        <w:t xml:space="preserve"> WCIU case file no. 2000-00123. The Panel notes that this fact indicates poor coordination between different units of the UNMIK Police. </w:t>
      </w:r>
    </w:p>
    <w:p w:rsidR="00056605" w:rsidRPr="001C21DC" w:rsidRDefault="00056605" w:rsidP="00056605">
      <w:pPr>
        <w:pStyle w:val="ListParagraph"/>
        <w:rPr>
          <w:color w:val="000000"/>
          <w:lang w:val="en-GB" w:eastAsia="en-US"/>
        </w:rPr>
      </w:pPr>
    </w:p>
    <w:p w:rsidR="00056605" w:rsidRPr="001C21DC" w:rsidRDefault="00421106" w:rsidP="00056605">
      <w:pPr>
        <w:pStyle w:val="ListParagraph"/>
        <w:numPr>
          <w:ilvl w:val="0"/>
          <w:numId w:val="2"/>
        </w:numPr>
        <w:tabs>
          <w:tab w:val="clear" w:pos="360"/>
          <w:tab w:val="num" w:pos="450"/>
          <w:tab w:val="left" w:pos="709"/>
        </w:tabs>
        <w:autoSpaceDE w:val="0"/>
        <w:ind w:left="450" w:hanging="450"/>
        <w:jc w:val="both"/>
        <w:rPr>
          <w:lang w:val="en-GB"/>
        </w:rPr>
      </w:pPr>
      <w:r w:rsidRPr="001C21DC">
        <w:rPr>
          <w:color w:val="000000"/>
          <w:lang w:val="en-GB" w:eastAsia="en-US"/>
        </w:rPr>
        <w:t>Both cases were subject to review by the WCIU in October 2007</w:t>
      </w:r>
      <w:r w:rsidR="00C1097B" w:rsidRPr="001C21DC">
        <w:rPr>
          <w:color w:val="000000"/>
          <w:lang w:val="en-GB" w:eastAsia="en-US"/>
        </w:rPr>
        <w:t xml:space="preserve">; however both reviews were far from being adequate. </w:t>
      </w:r>
      <w:r w:rsidRPr="001C21DC">
        <w:rPr>
          <w:color w:val="000000"/>
          <w:lang w:val="en-GB" w:eastAsia="en-US"/>
        </w:rPr>
        <w:t xml:space="preserve">The Panel </w:t>
      </w:r>
      <w:r w:rsidR="00C1097B" w:rsidRPr="001C21DC">
        <w:rPr>
          <w:color w:val="000000"/>
          <w:lang w:val="en-GB" w:eastAsia="en-US"/>
        </w:rPr>
        <w:t xml:space="preserve">notes from the </w:t>
      </w:r>
      <w:r w:rsidR="00195B8E" w:rsidRPr="001C21DC">
        <w:rPr>
          <w:color w:val="000000"/>
          <w:lang w:val="en-GB" w:eastAsia="en-US"/>
        </w:rPr>
        <w:t xml:space="preserve">assessment </w:t>
      </w:r>
      <w:r w:rsidR="00C1097B" w:rsidRPr="001C21DC">
        <w:rPr>
          <w:color w:val="000000"/>
          <w:lang w:val="en-GB" w:eastAsia="en-US"/>
        </w:rPr>
        <w:t xml:space="preserve">of the WCIU </w:t>
      </w:r>
      <w:r w:rsidRPr="001C21DC">
        <w:rPr>
          <w:color w:val="000000"/>
          <w:lang w:val="en-GB" w:eastAsia="en-US"/>
        </w:rPr>
        <w:t>investigato</w:t>
      </w:r>
      <w:r w:rsidR="00C1097B" w:rsidRPr="001C21DC">
        <w:rPr>
          <w:color w:val="000000"/>
          <w:lang w:val="en-GB" w:eastAsia="en-US"/>
        </w:rPr>
        <w:t>rs</w:t>
      </w:r>
      <w:r w:rsidR="00195B8E" w:rsidRPr="001C21DC">
        <w:rPr>
          <w:color w:val="000000"/>
          <w:lang w:val="en-GB" w:eastAsia="en-US"/>
        </w:rPr>
        <w:t xml:space="preserve"> reviewing the case file no. 2005-00076</w:t>
      </w:r>
      <w:r w:rsidR="00C1097B" w:rsidRPr="001C21DC">
        <w:rPr>
          <w:color w:val="000000"/>
          <w:lang w:val="en-GB" w:eastAsia="en-US"/>
        </w:rPr>
        <w:t xml:space="preserve"> in 2007 that they were not aware of most relevant</w:t>
      </w:r>
      <w:r w:rsidRPr="001C21DC">
        <w:rPr>
          <w:color w:val="000000"/>
          <w:lang w:val="en-GB" w:eastAsia="en-US"/>
        </w:rPr>
        <w:t xml:space="preserve"> information</w:t>
      </w:r>
      <w:r w:rsidR="00C1097B" w:rsidRPr="001C21DC">
        <w:rPr>
          <w:color w:val="000000"/>
          <w:lang w:val="en-GB" w:eastAsia="en-US"/>
        </w:rPr>
        <w:t xml:space="preserve"> collected thus f</w:t>
      </w:r>
      <w:r w:rsidR="00104E19" w:rsidRPr="001C21DC">
        <w:rPr>
          <w:color w:val="000000"/>
          <w:lang w:val="en-GB" w:eastAsia="en-US"/>
        </w:rPr>
        <w:t>ar by other units of the UNMIK P</w:t>
      </w:r>
      <w:r w:rsidR="00C1097B" w:rsidRPr="001C21DC">
        <w:rPr>
          <w:color w:val="000000"/>
          <w:lang w:val="en-GB" w:eastAsia="en-US"/>
        </w:rPr>
        <w:t>olice (the fac</w:t>
      </w:r>
      <w:r w:rsidR="00F303B9" w:rsidRPr="001C21DC">
        <w:rPr>
          <w:color w:val="000000"/>
          <w:lang w:val="en-GB" w:eastAsia="en-US"/>
        </w:rPr>
        <w:t xml:space="preserve">t that the mortal remains of </w:t>
      </w:r>
      <w:r w:rsidR="00C1097B" w:rsidRPr="001C21DC">
        <w:rPr>
          <w:color w:val="000000"/>
          <w:lang w:val="en-GB" w:eastAsia="en-US"/>
        </w:rPr>
        <w:t>D.S. had been by then already identified and handed over to his family; the information on possible witnesses, perpetrators, place</w:t>
      </w:r>
      <w:r w:rsidR="00E5405A" w:rsidRPr="001C21DC">
        <w:rPr>
          <w:color w:val="000000"/>
          <w:lang w:val="en-GB" w:eastAsia="en-US"/>
        </w:rPr>
        <w:t>s</w:t>
      </w:r>
      <w:r w:rsidR="00C1097B" w:rsidRPr="001C21DC">
        <w:rPr>
          <w:color w:val="000000"/>
          <w:lang w:val="en-GB" w:eastAsia="en-US"/>
        </w:rPr>
        <w:t xml:space="preserve"> of </w:t>
      </w:r>
      <w:r w:rsidR="00E5405A" w:rsidRPr="001C21DC">
        <w:rPr>
          <w:color w:val="000000"/>
          <w:lang w:val="en-GB" w:eastAsia="en-US"/>
        </w:rPr>
        <w:t>detention</w:t>
      </w:r>
      <w:r w:rsidR="00C1097B" w:rsidRPr="001C21DC">
        <w:rPr>
          <w:color w:val="000000"/>
          <w:lang w:val="en-GB" w:eastAsia="en-US"/>
        </w:rPr>
        <w:t>; the allegations that the victims could have been executed to have their organs removed). The Panel also notes that</w:t>
      </w:r>
      <w:r w:rsidR="00195B8E" w:rsidRPr="001C21DC">
        <w:rPr>
          <w:color w:val="000000"/>
          <w:lang w:val="en-GB" w:eastAsia="en-US"/>
        </w:rPr>
        <w:t xml:space="preserve"> the review, also in 2007, of case file no. 2000-00123 revealed that the</w:t>
      </w:r>
      <w:r w:rsidR="002D32F3" w:rsidRPr="001C21DC">
        <w:rPr>
          <w:color w:val="000000"/>
          <w:lang w:val="en-GB" w:eastAsia="en-US"/>
        </w:rPr>
        <w:t xml:space="preserve"> case files </w:t>
      </w:r>
      <w:r w:rsidR="00195B8E" w:rsidRPr="001C21DC">
        <w:rPr>
          <w:color w:val="000000"/>
          <w:lang w:val="en-GB" w:eastAsia="en-US"/>
        </w:rPr>
        <w:t>had gone “missing” in unexplained circumstances</w:t>
      </w:r>
      <w:r w:rsidR="002D32F3" w:rsidRPr="001C21DC">
        <w:rPr>
          <w:color w:val="000000"/>
          <w:lang w:val="en-GB" w:eastAsia="en-US"/>
        </w:rPr>
        <w:t xml:space="preserve"> and that information on the case had been retrieved by the MPU in 2006</w:t>
      </w:r>
      <w:r w:rsidR="00195B8E" w:rsidRPr="001C21DC">
        <w:rPr>
          <w:color w:val="000000"/>
          <w:lang w:val="en-GB" w:eastAsia="en-US"/>
        </w:rPr>
        <w:t xml:space="preserve">. The Panel also notes </w:t>
      </w:r>
      <w:r w:rsidR="002D32F3" w:rsidRPr="001C21DC">
        <w:rPr>
          <w:color w:val="000000"/>
          <w:lang w:val="en-GB" w:eastAsia="en-US"/>
        </w:rPr>
        <w:t xml:space="preserve">that </w:t>
      </w:r>
      <w:r w:rsidR="00056605" w:rsidRPr="001C21DC">
        <w:rPr>
          <w:color w:val="000000"/>
          <w:lang w:val="en-GB" w:eastAsia="en-US"/>
        </w:rPr>
        <w:t>the investigators did not realise at this time that the both WCIU cases concerned the same incident, as discovered by a EULEX prosecutor reviewing the case in 2009. The Panel further notes that it was the recommendation of the reviewing investigator that “more information are needed to conduct the investigation in a good way”; however, according to the documents available, no other investigative activity aimed at identifying the perpetrators and bringing them to justice was taken by UNMIK until the case was handed over to EULEX in 2008. The Panel also notes that, by this time,</w:t>
      </w:r>
      <w:r w:rsidR="00F303B9" w:rsidRPr="001C21DC">
        <w:rPr>
          <w:color w:val="000000"/>
          <w:lang w:val="en-GB" w:eastAsia="en-US"/>
        </w:rPr>
        <w:t xml:space="preserve"> the mortal remains of M.</w:t>
      </w:r>
      <w:r w:rsidR="007864F7" w:rsidRPr="001C21DC">
        <w:rPr>
          <w:color w:val="000000"/>
          <w:lang w:val="en-GB" w:eastAsia="en-US"/>
        </w:rPr>
        <w:t>V</w:t>
      </w:r>
      <w:r w:rsidR="00F303B9" w:rsidRPr="001C21DC">
        <w:rPr>
          <w:color w:val="000000"/>
          <w:lang w:val="en-GB" w:eastAsia="en-US"/>
        </w:rPr>
        <w:t>. and M.Đ.</w:t>
      </w:r>
      <w:r w:rsidR="00056605" w:rsidRPr="001C21DC">
        <w:rPr>
          <w:color w:val="000000"/>
          <w:lang w:val="en-GB" w:eastAsia="en-US"/>
        </w:rPr>
        <w:t>, discovered in June 2003, had not yet been identified.</w:t>
      </w:r>
    </w:p>
    <w:p w:rsidR="00056605" w:rsidRPr="001C21DC" w:rsidRDefault="00056605" w:rsidP="00056605">
      <w:pPr>
        <w:tabs>
          <w:tab w:val="left" w:pos="709"/>
        </w:tabs>
        <w:suppressAutoHyphens/>
        <w:autoSpaceDE w:val="0"/>
        <w:ind w:left="360"/>
        <w:jc w:val="both"/>
        <w:rPr>
          <w:color w:val="000000" w:themeColor="text1"/>
          <w:lang w:val="en-GB"/>
        </w:rPr>
      </w:pPr>
    </w:p>
    <w:p w:rsidR="00056605" w:rsidRPr="001C21DC" w:rsidRDefault="00056605" w:rsidP="0005660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apparent lack of any </w:t>
      </w:r>
      <w:r w:rsidRPr="001C21DC">
        <w:rPr>
          <w:bCs/>
        </w:rPr>
        <w:t xml:space="preserve">immediate </w:t>
      </w:r>
      <w:r w:rsidRPr="001C21DC">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056605" w:rsidRPr="001C21DC" w:rsidRDefault="00056605" w:rsidP="00056605">
      <w:pPr>
        <w:pStyle w:val="ListParagraph"/>
        <w:rPr>
          <w:lang w:val="en-GB"/>
        </w:rPr>
      </w:pPr>
    </w:p>
    <w:p w:rsidR="00C14BB4" w:rsidRPr="001C21DC" w:rsidRDefault="00056605" w:rsidP="00C14BB4">
      <w:pPr>
        <w:numPr>
          <w:ilvl w:val="0"/>
          <w:numId w:val="2"/>
        </w:numPr>
        <w:tabs>
          <w:tab w:val="clear" w:pos="360"/>
          <w:tab w:val="left" w:pos="709"/>
        </w:tabs>
        <w:suppressAutoHyphens/>
        <w:autoSpaceDE w:val="0"/>
        <w:ind w:left="450" w:hanging="450"/>
        <w:jc w:val="both"/>
        <w:rPr>
          <w:color w:val="000000"/>
          <w:lang w:val="en-GB"/>
        </w:rPr>
      </w:pPr>
      <w:r w:rsidRPr="001C21DC">
        <w:rPr>
          <w:lang w:val="en-GB"/>
        </w:rPr>
        <w:t>Havin</w:t>
      </w:r>
      <w:r w:rsidR="00F303B9" w:rsidRPr="001C21DC">
        <w:rPr>
          <w:lang w:val="en-GB"/>
        </w:rPr>
        <w:t>g considered that</w:t>
      </w:r>
      <w:r w:rsidR="00044BE8" w:rsidRPr="001C21DC">
        <w:rPr>
          <w:lang w:val="en-GB"/>
        </w:rPr>
        <w:t xml:space="preserve"> important information, including the name of a potential perpetrator and a witness,</w:t>
      </w:r>
      <w:r w:rsidRPr="001C21DC">
        <w:rPr>
          <w:lang w:val="en-GB"/>
        </w:rPr>
        <w:t xml:space="preserve"> available</w:t>
      </w:r>
      <w:r w:rsidR="00044BE8" w:rsidRPr="001C21DC">
        <w:rPr>
          <w:lang w:val="en-GB"/>
        </w:rPr>
        <w:t xml:space="preserve"> to UNMIK</w:t>
      </w:r>
      <w:r w:rsidR="00F303B9" w:rsidRPr="001C21DC">
        <w:rPr>
          <w:lang w:val="en-GB"/>
        </w:rPr>
        <w:t xml:space="preserve"> from</w:t>
      </w:r>
      <w:r w:rsidRPr="001C21DC">
        <w:rPr>
          <w:lang w:val="en-GB"/>
        </w:rPr>
        <w:t xml:space="preserve"> the early stage of the investigations, the Panel cannot agree with the SRSG</w:t>
      </w:r>
      <w:r w:rsidR="00044BE8" w:rsidRPr="001C21DC">
        <w:rPr>
          <w:lang w:val="en-GB"/>
        </w:rPr>
        <w:t xml:space="preserve"> that no investigative leads were available to the UNMIK Police</w:t>
      </w:r>
      <w:r w:rsidR="00E5405A" w:rsidRPr="001C21DC">
        <w:rPr>
          <w:lang w:val="en-GB"/>
        </w:rPr>
        <w:t>. Nor</w:t>
      </w:r>
      <w:r w:rsidR="00F303B9" w:rsidRPr="001C21DC">
        <w:rPr>
          <w:lang w:val="en-GB"/>
        </w:rPr>
        <w:t xml:space="preserve"> does the Panel accepts</w:t>
      </w:r>
      <w:r w:rsidR="00044BE8" w:rsidRPr="001C21DC">
        <w:rPr>
          <w:lang w:val="en-GB"/>
        </w:rPr>
        <w:t xml:space="preserve"> that the investigation inevitably stalled due to the lack of witnesses and evidence, the inconsistencies concerning the vehicle the victims were driving on the date of their </w:t>
      </w:r>
      <w:r w:rsidR="0019795E" w:rsidRPr="001C21DC">
        <w:rPr>
          <w:lang w:val="en-GB"/>
        </w:rPr>
        <w:t>abduction</w:t>
      </w:r>
      <w:r w:rsidR="00044BE8" w:rsidRPr="001C21DC">
        <w:rPr>
          <w:lang w:val="en-GB"/>
        </w:rPr>
        <w:t>, or the</w:t>
      </w:r>
      <w:r w:rsidR="00761838">
        <w:rPr>
          <w:lang w:val="en-GB"/>
        </w:rPr>
        <w:t xml:space="preserve"> lack of eye-</w:t>
      </w:r>
      <w:r w:rsidR="00E5405A" w:rsidRPr="001C21DC">
        <w:rPr>
          <w:lang w:val="en-GB"/>
        </w:rPr>
        <w:t>witnesses and physical evidence</w:t>
      </w:r>
      <w:r w:rsidR="00044BE8" w:rsidRPr="001C21DC">
        <w:rPr>
          <w:lang w:val="en-GB"/>
        </w:rPr>
        <w:t>. In this respect, the Panel has already held that finding the necessary information to fill the gaps of an investigation is the main goal of any investigative</w:t>
      </w:r>
      <w:r w:rsidR="00044BE8" w:rsidRPr="001C21DC">
        <w:rPr>
          <w:color w:val="000000"/>
          <w:lang w:val="en-GB"/>
        </w:rPr>
        <w:t xml:space="preserve"> activity. Therefore, a lack of information should not be used as an argument to defend inaction by the investigative authorities. As has been shown, </w:t>
      </w:r>
      <w:r w:rsidR="00E5405A" w:rsidRPr="001C21DC">
        <w:rPr>
          <w:color w:val="000000"/>
          <w:lang w:val="en-GB"/>
        </w:rPr>
        <w:t xml:space="preserve">a number of investigative leads available were ignored by the investigators. </w:t>
      </w:r>
    </w:p>
    <w:p w:rsidR="00E5405A" w:rsidRPr="001C21DC" w:rsidRDefault="00E5405A" w:rsidP="00E5405A">
      <w:pPr>
        <w:tabs>
          <w:tab w:val="left" w:pos="709"/>
        </w:tabs>
        <w:suppressAutoHyphens/>
        <w:autoSpaceDE w:val="0"/>
        <w:jc w:val="both"/>
        <w:rPr>
          <w:color w:val="000000"/>
          <w:lang w:val="en-GB"/>
        </w:rPr>
      </w:pPr>
    </w:p>
    <w:p w:rsidR="00F303B9"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The Panel has already noted the principle that proper maintenance of investigative files concerning crimes such as killings and disappearances, from the opening of the investigation to their handing over, is crucial to the continuation of such investigations and could thus raise per se issues under Article 2. The Panel also notes that it is evident in the present case that the poor maintenance of the investigative file, along with the inadequate review of the case seriously undermined the effectiveness of the investigation and its continuation, including by EULEX. </w:t>
      </w:r>
    </w:p>
    <w:p w:rsidR="00F303B9" w:rsidRPr="001C21DC" w:rsidRDefault="00F303B9" w:rsidP="00F303B9">
      <w:pPr>
        <w:pStyle w:val="ListParagraph"/>
        <w:rPr>
          <w:color w:val="000000"/>
          <w:lang w:val="en-GB"/>
        </w:rPr>
      </w:pPr>
    </w:p>
    <w:p w:rsidR="000A25B5"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It is also not clear to the Panel if this investigation was reviewed by a prosecutor at any stage. The Panel notes in this respect that UNMIK was in receipt of two criminal reports concerning the </w:t>
      </w:r>
      <w:r w:rsidR="00FE78A9"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color w:val="000000"/>
          <w:lang w:val="en-GB"/>
        </w:rPr>
        <w:t>filed w</w:t>
      </w:r>
      <w:r w:rsidR="00FE78A9" w:rsidRPr="001C21DC">
        <w:rPr>
          <w:color w:val="000000"/>
          <w:lang w:val="en-GB"/>
        </w:rPr>
        <w:t>ith the DPPO in Pejë/Peć in 2000 and 2005</w:t>
      </w:r>
      <w:r w:rsidR="00E5405A" w:rsidRPr="001C21DC">
        <w:rPr>
          <w:color w:val="000000"/>
          <w:lang w:val="en-GB"/>
        </w:rPr>
        <w:t xml:space="preserve"> (see </w:t>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and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color w:val="000000"/>
          <w:lang w:val="en-GB"/>
        </w:rPr>
        <w:t xml:space="preserve"> respectively</w:t>
      </w:r>
      <w:r w:rsidR="00E5405A" w:rsidRPr="001C21DC">
        <w:rPr>
          <w:color w:val="000000"/>
          <w:lang w:val="en-GB"/>
        </w:rPr>
        <w:t>)</w:t>
      </w:r>
      <w:r w:rsidRPr="001C21DC">
        <w:rPr>
          <w:color w:val="000000"/>
          <w:lang w:val="en-GB"/>
        </w:rPr>
        <w:t>. However, no formal instructions from any prosecutor are on file.</w:t>
      </w:r>
    </w:p>
    <w:p w:rsidR="000A25B5" w:rsidRPr="001C21DC" w:rsidRDefault="000A25B5" w:rsidP="000A25B5">
      <w:pPr>
        <w:pStyle w:val="ListParagraph"/>
        <w:rPr>
          <w:lang w:val="en-GB"/>
        </w:rPr>
      </w:pPr>
    </w:p>
    <w:p w:rsidR="000A25B5" w:rsidRPr="001C21DC" w:rsidRDefault="000A25B5" w:rsidP="000A25B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aware that the duty to investigate is not breached merely because the investigation does not produce a satisfactory result. Nevertheless, such an investigation must be undertaken in a serious manner and not be a mere formality.  </w:t>
      </w:r>
    </w:p>
    <w:p w:rsidR="00FE78A9" w:rsidRPr="001C21DC" w:rsidRDefault="00FE78A9" w:rsidP="00026A70">
      <w:pPr>
        <w:rPr>
          <w:lang w:val="en-GB"/>
        </w:rPr>
      </w:pPr>
    </w:p>
    <w:p w:rsidR="00FE78A9" w:rsidRPr="001C21DC" w:rsidRDefault="0086321C" w:rsidP="00FE78A9">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therefore </w:t>
      </w:r>
      <w:r w:rsidRPr="001C21DC">
        <w:rPr>
          <w:rStyle w:val="Strong"/>
          <w:b w:val="0"/>
        </w:rPr>
        <w:t>considers</w:t>
      </w:r>
      <w:r w:rsidRPr="001C21DC">
        <w:rPr>
          <w:lang w:val="en-GB"/>
        </w:rPr>
        <w:t xml:space="preserve"> that, having regard to all the circumstances of the particular case, not all reasonable steps were taken by UNMIK to identify the perpetrators and to bring them to justice. In this sense the Panel considers that the investigation </w:t>
      </w:r>
      <w:r w:rsidR="00621EDB" w:rsidRPr="001C21DC">
        <w:rPr>
          <w:lang w:val="en-GB"/>
        </w:rPr>
        <w:t>into</w:t>
      </w:r>
      <w:r w:rsidR="00FE78A9" w:rsidRPr="001C21DC">
        <w:rPr>
          <w:lang w:val="en-GB"/>
        </w:rPr>
        <w:t xml:space="preserve"> the </w:t>
      </w:r>
      <w:r w:rsidR="00E5405A"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lang w:val="en-GB"/>
        </w:rPr>
        <w:t xml:space="preserve">was not adequate and did not comply with the requirements of promptness, expedition and effectiveness (see </w:t>
      </w:r>
      <w:r w:rsidR="00CF7241" w:rsidRPr="001C21DC">
        <w:rPr>
          <w:lang w:val="en-GB"/>
        </w:rPr>
        <w:t xml:space="preserve">§§ </w:t>
      </w:r>
      <w:r w:rsidR="005A35A3">
        <w:fldChar w:fldCharType="begin"/>
      </w:r>
      <w:r w:rsidR="005A35A3">
        <w:instrText xml:space="preserve"> REF _Ref366239979 \r \h  \* MERGEFORMAT </w:instrText>
      </w:r>
      <w:r w:rsidR="005A35A3">
        <w:fldChar w:fldCharType="separate"/>
      </w:r>
      <w:r w:rsidR="00D0695D" w:rsidRPr="00D0695D">
        <w:rPr>
          <w:lang w:val="en-GB"/>
        </w:rPr>
        <w:t>105</w:t>
      </w:r>
      <w:r w:rsidR="005A35A3">
        <w:fldChar w:fldCharType="end"/>
      </w:r>
      <w:r w:rsidR="00401775" w:rsidRPr="001C21DC">
        <w:rPr>
          <w:lang w:val="en-GB"/>
        </w:rPr>
        <w:t>-106</w:t>
      </w:r>
      <w:r w:rsidR="00FE78A9" w:rsidRPr="001C21DC">
        <w:rPr>
          <w:lang w:val="en-GB"/>
        </w:rPr>
        <w:t xml:space="preserve"> above)</w:t>
      </w:r>
      <w:r w:rsidRPr="001C21DC">
        <w:rPr>
          <w:lang w:val="en-GB"/>
        </w:rPr>
        <w:t xml:space="preserve">, as </w:t>
      </w:r>
      <w:r w:rsidR="00FE78A9" w:rsidRPr="001C21DC">
        <w:rPr>
          <w:lang w:val="en-GB"/>
        </w:rPr>
        <w:t xml:space="preserve">required by Article 2. </w:t>
      </w:r>
    </w:p>
    <w:p w:rsidR="00FE78A9" w:rsidRPr="001C21DC" w:rsidRDefault="00FE78A9" w:rsidP="00FE78A9">
      <w:pPr>
        <w:pStyle w:val="ListParagraph"/>
        <w:rPr>
          <w:color w:val="000000"/>
          <w:lang w:val="en-GB"/>
        </w:rPr>
      </w:pPr>
    </w:p>
    <w:p w:rsidR="000A25B5" w:rsidRPr="001C21DC" w:rsidRDefault="003C3BF4" w:rsidP="000A25B5">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As </w:t>
      </w:r>
      <w:r w:rsidRPr="001C21DC">
        <w:rPr>
          <w:lang w:val="en-GB"/>
        </w:rPr>
        <w:t>concerns</w:t>
      </w:r>
      <w:r w:rsidRPr="001C21DC">
        <w:rPr>
          <w:color w:val="000000"/>
          <w:lang w:val="en-GB"/>
        </w:rPr>
        <w:t xml:space="preserve"> the requirement of public scrutiny, the Panel recalls that Article 2 also requires that in all cases the victim</w:t>
      </w:r>
      <w:r w:rsidR="00683067" w:rsidRPr="001C21DC">
        <w:rPr>
          <w:color w:val="000000"/>
          <w:lang w:val="en-GB"/>
        </w:rPr>
        <w:t>’</w:t>
      </w:r>
      <w:r w:rsidRPr="001C21DC">
        <w:rPr>
          <w:color w:val="000000"/>
          <w:lang w:val="en-GB"/>
        </w:rPr>
        <w:t xml:space="preserve">s next-of-kin must be involved in the investigation to the extent necessary to safeguard his or her legitimate interests (see ECtHR [GC], </w:t>
      </w:r>
      <w:r w:rsidRPr="001C21DC">
        <w:rPr>
          <w:i/>
          <w:iCs/>
          <w:color w:val="000000"/>
          <w:lang w:val="en-GB"/>
        </w:rPr>
        <w:t>Tahsin Acar v. Turkey</w:t>
      </w:r>
      <w:r w:rsidRPr="001C21DC">
        <w:rPr>
          <w:color w:val="000000"/>
          <w:lang w:val="en-GB"/>
        </w:rPr>
        <w:t xml:space="preserve">, no. 26307/95, judgment of 8 April 2004, § 226, ECHR 2004-III; ECtHR, </w:t>
      </w:r>
      <w:r w:rsidRPr="001C21DC">
        <w:rPr>
          <w:i/>
          <w:iCs/>
          <w:color w:val="000000"/>
          <w:lang w:val="en-GB"/>
        </w:rPr>
        <w:t>Taniş v. Turkey</w:t>
      </w:r>
      <w:r w:rsidRPr="001C21DC">
        <w:rPr>
          <w:color w:val="000000"/>
          <w:lang w:val="en-GB"/>
        </w:rPr>
        <w:t xml:space="preserve">, no. 65899/01, judgment of 2 August 2005, § 204, ECHR 2005-VIII). </w:t>
      </w:r>
    </w:p>
    <w:p w:rsidR="000A25B5" w:rsidRPr="001C21DC" w:rsidRDefault="000A25B5" w:rsidP="000A25B5">
      <w:pPr>
        <w:pStyle w:val="ListParagraph"/>
        <w:rPr>
          <w:lang w:val="en-GB"/>
        </w:rPr>
      </w:pPr>
    </w:p>
    <w:p w:rsidR="00C53711" w:rsidRPr="001C21DC" w:rsidRDefault="0086321C" w:rsidP="00C537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notes from the investigative file </w:t>
      </w:r>
      <w:r w:rsidR="00DE0DF2" w:rsidRPr="001C21DC">
        <w:rPr>
          <w:lang w:val="en-GB"/>
        </w:rPr>
        <w:t>that the only recorded contact</w:t>
      </w:r>
      <w:r w:rsidR="000A25B5" w:rsidRPr="001C21DC">
        <w:rPr>
          <w:lang w:val="en-GB"/>
        </w:rPr>
        <w:t>s between UNMIK</w:t>
      </w:r>
      <w:r w:rsidR="003E64E0" w:rsidRPr="001C21DC">
        <w:rPr>
          <w:lang w:val="en-GB"/>
        </w:rPr>
        <w:t xml:space="preserve"> investigators and </w:t>
      </w:r>
      <w:r w:rsidR="00DE0DF2" w:rsidRPr="001C21DC">
        <w:rPr>
          <w:lang w:val="en-GB"/>
        </w:rPr>
        <w:t>the complainants or their families is a contact</w:t>
      </w:r>
      <w:r w:rsidR="00F303B9" w:rsidRPr="001C21DC">
        <w:rPr>
          <w:lang w:val="en-GB"/>
        </w:rPr>
        <w:t xml:space="preserve"> by</w:t>
      </w:r>
      <w:r w:rsidR="000A25B5" w:rsidRPr="001C21DC">
        <w:rPr>
          <w:lang w:val="en-GB"/>
        </w:rPr>
        <w:t xml:space="preserve"> the MPU</w:t>
      </w:r>
      <w:r w:rsidR="00DE0DF2" w:rsidRPr="001C21DC">
        <w:rPr>
          <w:lang w:val="en-GB"/>
        </w:rPr>
        <w:t xml:space="preserve"> with </w:t>
      </w:r>
      <w:r w:rsidR="000A25B5" w:rsidRPr="001C21DC">
        <w:rPr>
          <w:lang w:val="en-GB"/>
        </w:rPr>
        <w:t>the daughter</w:t>
      </w:r>
      <w:r w:rsidR="00F303B9" w:rsidRPr="001C21DC">
        <w:rPr>
          <w:lang w:val="en-GB"/>
        </w:rPr>
        <w:t xml:space="preserve"> of M.Đ.</w:t>
      </w:r>
      <w:r w:rsidR="00DE0DF2" w:rsidRPr="001C21DC">
        <w:rPr>
          <w:lang w:val="en-GB"/>
        </w:rPr>
        <w:t xml:space="preserve"> in</w:t>
      </w:r>
      <w:r w:rsidR="000A25B5" w:rsidRPr="001C21DC">
        <w:rPr>
          <w:lang w:val="en-GB"/>
        </w:rPr>
        <w:t xml:space="preserve"> November 2000, for the purpose of gathering ante-mortem information</w:t>
      </w:r>
      <w:r w:rsidR="00F303B9" w:rsidRPr="001C21DC">
        <w:rPr>
          <w:lang w:val="en-GB"/>
        </w:rPr>
        <w:t xml:space="preserve">, and another for </w:t>
      </w:r>
      <w:r w:rsidR="000A25B5" w:rsidRPr="001C21DC">
        <w:rPr>
          <w:lang w:val="en-GB"/>
        </w:rPr>
        <w:t>the h</w:t>
      </w:r>
      <w:r w:rsidR="00F303B9" w:rsidRPr="001C21DC">
        <w:rPr>
          <w:lang w:val="en-GB"/>
        </w:rPr>
        <w:t xml:space="preserve">andover of the mortal remains of </w:t>
      </w:r>
      <w:r w:rsidR="000A25B5" w:rsidRPr="001C21DC">
        <w:rPr>
          <w:lang w:val="en-GB"/>
        </w:rPr>
        <w:t>D.S. in November 2004</w:t>
      </w:r>
      <w:r w:rsidR="00026A70" w:rsidRPr="001C21DC">
        <w:rPr>
          <w:lang w:val="en-GB"/>
        </w:rPr>
        <w:t xml:space="preserve"> (see </w:t>
      </w:r>
      <w:r w:rsidR="00401775" w:rsidRPr="001C21DC">
        <w:rPr>
          <w:lang w:val="en-GB"/>
        </w:rPr>
        <w:t>37</w:t>
      </w:r>
      <w:r w:rsidR="00026A70" w:rsidRPr="001C21DC">
        <w:rPr>
          <w:lang w:val="en-GB"/>
        </w:rPr>
        <w:t xml:space="preserve"> above)</w:t>
      </w:r>
      <w:r w:rsidR="000A25B5" w:rsidRPr="001C21DC">
        <w:rPr>
          <w:lang w:val="en-GB"/>
        </w:rPr>
        <w:t>. It appears that no witness statement was ever taken from the complainants and other family members throughout the investigation and there is no evidence in the file that they</w:t>
      </w:r>
      <w:r w:rsidR="00C53711" w:rsidRPr="001C21DC">
        <w:rPr>
          <w:lang w:val="en-GB"/>
        </w:rPr>
        <w:t xml:space="preserve"> were contacted in order to receive updates on the progress of the investigation. </w:t>
      </w:r>
    </w:p>
    <w:p w:rsidR="00C53711" w:rsidRPr="001C21DC" w:rsidRDefault="00C53711" w:rsidP="00C53711">
      <w:pPr>
        <w:pStyle w:val="ListParagraph"/>
        <w:rPr>
          <w:color w:val="000000" w:themeColor="text1"/>
          <w:lang w:val="en-GB"/>
        </w:rPr>
      </w:pPr>
    </w:p>
    <w:p w:rsidR="00B73D61" w:rsidRPr="00577D1C" w:rsidRDefault="001B63EB" w:rsidP="00B73D61">
      <w:pPr>
        <w:numPr>
          <w:ilvl w:val="0"/>
          <w:numId w:val="2"/>
        </w:numPr>
        <w:tabs>
          <w:tab w:val="clear" w:pos="360"/>
          <w:tab w:val="left" w:pos="709"/>
        </w:tabs>
        <w:suppressAutoHyphens/>
        <w:autoSpaceDE w:val="0"/>
        <w:ind w:left="450" w:hanging="450"/>
        <w:jc w:val="both"/>
        <w:rPr>
          <w:lang w:val="en-GB"/>
        </w:rPr>
      </w:pPr>
      <w:r w:rsidRPr="001C21DC">
        <w:rPr>
          <w:color w:val="000000" w:themeColor="text1"/>
          <w:lang w:val="en-GB"/>
        </w:rPr>
        <w:t xml:space="preserve">The Panel therefore considers that the investigation was not accessible </w:t>
      </w:r>
      <w:r w:rsidR="00954241" w:rsidRPr="001C21DC">
        <w:rPr>
          <w:color w:val="000000" w:themeColor="text1"/>
          <w:lang w:val="en-GB"/>
        </w:rPr>
        <w:t>to</w:t>
      </w:r>
      <w:r w:rsidR="00C53711" w:rsidRPr="001C21DC">
        <w:rPr>
          <w:color w:val="000000" w:themeColor="text1"/>
          <w:lang w:val="en-GB"/>
        </w:rPr>
        <w:t xml:space="preserve"> the complainants and their families,</w:t>
      </w:r>
      <w:r w:rsidRPr="001C21DC">
        <w:rPr>
          <w:bCs/>
          <w:color w:val="000000" w:themeColor="text1"/>
          <w:lang w:val="en-GB"/>
        </w:rPr>
        <w:t xml:space="preserve"> </w:t>
      </w:r>
      <w:r w:rsidRPr="001C21DC">
        <w:rPr>
          <w:color w:val="000000" w:themeColor="text1"/>
          <w:lang w:val="en-GB"/>
        </w:rPr>
        <w:t>as required by Article 2</w:t>
      </w:r>
      <w:r w:rsidR="00B73D61" w:rsidRPr="001C21DC">
        <w:rPr>
          <w:color w:val="000000" w:themeColor="text1"/>
          <w:lang w:val="en-GB"/>
        </w:rPr>
        <w:t>.</w:t>
      </w:r>
    </w:p>
    <w:p w:rsidR="00577D1C" w:rsidRPr="00577D1C" w:rsidRDefault="00577D1C" w:rsidP="00577D1C">
      <w:pPr>
        <w:tabs>
          <w:tab w:val="left" w:pos="709"/>
        </w:tabs>
        <w:suppressAutoHyphens/>
        <w:autoSpaceDE w:val="0"/>
        <w:ind w:left="450"/>
        <w:jc w:val="both"/>
        <w:rPr>
          <w:lang w:val="en-GB"/>
        </w:rPr>
      </w:pPr>
    </w:p>
    <w:p w:rsidR="00577D1C" w:rsidRPr="00577D1C" w:rsidRDefault="00577D1C" w:rsidP="00577D1C">
      <w:pPr>
        <w:numPr>
          <w:ilvl w:val="0"/>
          <w:numId w:val="2"/>
        </w:numPr>
        <w:tabs>
          <w:tab w:val="clear" w:pos="360"/>
          <w:tab w:val="left" w:pos="709"/>
        </w:tabs>
        <w:suppressAutoHyphens/>
        <w:autoSpaceDE w:val="0"/>
        <w:ind w:left="450" w:hanging="450"/>
        <w:jc w:val="both"/>
        <w:rPr>
          <w:lang w:val="en-GB"/>
        </w:rPr>
      </w:pPr>
      <w:r w:rsidRPr="00577D1C">
        <w:rPr>
          <w:lang w:val="en-GB"/>
        </w:rPr>
        <w:t xml:space="preserve">In </w:t>
      </w:r>
      <w:r w:rsidRPr="00577D1C">
        <w:rPr>
          <w:color w:val="000000" w:themeColor="text1"/>
          <w:lang w:val="en-GB"/>
        </w:rPr>
        <w:t>light</w:t>
      </w:r>
      <w:r w:rsidRPr="00577D1C">
        <w:rPr>
          <w:lang w:val="en-GB"/>
        </w:rPr>
        <w:t xml:space="preserve"> of the deficiencies and shortcomings described above, the Panel concludes that UNMIK failed to carry out an effective investigation</w:t>
      </w:r>
      <w:r>
        <w:rPr>
          <w:lang w:val="en-GB"/>
        </w:rPr>
        <w:t xml:space="preserve"> into</w:t>
      </w:r>
      <w:r w:rsidRPr="00577D1C">
        <w:rPr>
          <w:lang w:val="en-GB"/>
        </w:rPr>
        <w:t xml:space="preserve"> the abduction and probable killing of M.V. and the abduction and killing of M.Đ. and D.S. There has accordingly been a violation of Article 2, procedural limb, of the ECHR.</w:t>
      </w:r>
    </w:p>
    <w:p w:rsidR="00B73D61" w:rsidRPr="00577D1C" w:rsidRDefault="00B73D61" w:rsidP="00577D1C">
      <w:pPr>
        <w:tabs>
          <w:tab w:val="left" w:pos="709"/>
        </w:tabs>
        <w:suppressAutoHyphens/>
        <w:autoSpaceDE w:val="0"/>
        <w:ind w:left="450"/>
        <w:jc w:val="both"/>
        <w:rPr>
          <w:lang w:val="en-GB"/>
        </w:rPr>
      </w:pPr>
    </w:p>
    <w:p w:rsidR="00B73D61" w:rsidRPr="001C21DC" w:rsidRDefault="00B73D61" w:rsidP="00B73D61">
      <w:pPr>
        <w:pStyle w:val="ListParagraph"/>
        <w:numPr>
          <w:ilvl w:val="0"/>
          <w:numId w:val="4"/>
        </w:numPr>
        <w:jc w:val="both"/>
        <w:rPr>
          <w:b/>
          <w:lang w:val="en-GB"/>
        </w:rPr>
      </w:pPr>
      <w:r w:rsidRPr="001C21DC">
        <w:rPr>
          <w:b/>
          <w:lang w:val="en-GB"/>
        </w:rPr>
        <w:t>Alleged violation of Article 3 of the ECHR</w:t>
      </w:r>
    </w:p>
    <w:p w:rsidR="00B73D61" w:rsidRPr="001C21DC" w:rsidRDefault="00B73D61" w:rsidP="004D4D50">
      <w:pPr>
        <w:rPr>
          <w:lang w:val="en-GB"/>
        </w:rPr>
      </w:pPr>
    </w:p>
    <w:p w:rsidR="00B73D61" w:rsidRPr="001C21DC" w:rsidRDefault="00E85EAC" w:rsidP="00B73D6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w:t>
      </w:r>
      <w:r w:rsidR="00F303B9" w:rsidRPr="001C21DC">
        <w:rPr>
          <w:lang w:val="en-GB"/>
        </w:rPr>
        <w:t>L.V. and M.Đ.</w:t>
      </w:r>
      <w:r w:rsidR="00B73D61" w:rsidRPr="001C21DC">
        <w:rPr>
          <w:b/>
          <w:bCs/>
          <w:lang w:val="en-GB"/>
        </w:rPr>
        <w:t xml:space="preserve">, </w:t>
      </w:r>
      <w:r w:rsidRPr="001C21DC">
        <w:rPr>
          <w:lang w:val="en-GB"/>
        </w:rPr>
        <w:t>the complainant</w:t>
      </w:r>
      <w:r w:rsidR="00D15BA1" w:rsidRPr="001C21DC">
        <w:rPr>
          <w:lang w:val="en-GB"/>
        </w:rPr>
        <w:t>s</w:t>
      </w:r>
      <w:r w:rsidRPr="001C21DC">
        <w:rPr>
          <w:lang w:val="en-GB"/>
        </w:rPr>
        <w:t xml:space="preserve"> </w:t>
      </w:r>
      <w:r w:rsidR="003663CE" w:rsidRPr="001C21DC">
        <w:rPr>
          <w:lang w:val="en-GB"/>
        </w:rPr>
        <w:t>in case</w:t>
      </w:r>
      <w:r w:rsidR="00B73D61" w:rsidRPr="001C21DC">
        <w:rPr>
          <w:lang w:val="en-GB"/>
        </w:rPr>
        <w:t>s</w:t>
      </w:r>
      <w:r w:rsidR="00401775" w:rsidRPr="001C21DC">
        <w:rPr>
          <w:lang w:val="en-GB"/>
        </w:rPr>
        <w:t xml:space="preserve"> nos</w:t>
      </w:r>
      <w:r w:rsidR="003663CE" w:rsidRPr="001C21DC">
        <w:rPr>
          <w:lang w:val="en-GB"/>
        </w:rPr>
        <w:t xml:space="preserve"> 291/09 and 292/09</w:t>
      </w:r>
      <w:r w:rsidR="00B73D61" w:rsidRPr="001C21DC">
        <w:rPr>
          <w:lang w:val="en-GB"/>
        </w:rPr>
        <w:t xml:space="preserve"> respectively,</w:t>
      </w:r>
      <w:r w:rsidR="003663CE" w:rsidRPr="001C21DC">
        <w:rPr>
          <w:lang w:val="en-GB"/>
        </w:rPr>
        <w:t xml:space="preserve"> </w:t>
      </w:r>
      <w:r w:rsidRPr="001C21DC">
        <w:rPr>
          <w:lang w:val="en-GB"/>
        </w:rPr>
        <w:t>invoke, in substance, a violation of the right to be free from inhumane or degrading treatment, guaranteed by Article 3 of the ECHR.</w:t>
      </w:r>
    </w:p>
    <w:p w:rsidR="00B73D61" w:rsidRPr="001C21DC" w:rsidRDefault="00B73D61" w:rsidP="00B73D61">
      <w:pPr>
        <w:pStyle w:val="ListParagraph1"/>
        <w:ind w:left="0"/>
        <w:jc w:val="both"/>
        <w:rPr>
          <w:b/>
        </w:rPr>
      </w:pPr>
    </w:p>
    <w:p w:rsidR="00B73D61" w:rsidRPr="001C21DC" w:rsidRDefault="00B73D61" w:rsidP="00B73D61">
      <w:pPr>
        <w:pStyle w:val="ListParagraph1"/>
        <w:numPr>
          <w:ilvl w:val="0"/>
          <w:numId w:val="8"/>
        </w:numPr>
        <w:jc w:val="both"/>
        <w:rPr>
          <w:b/>
        </w:rPr>
      </w:pPr>
      <w:r w:rsidRPr="001C21DC">
        <w:rPr>
          <w:b/>
        </w:rPr>
        <w:t xml:space="preserve">The scope of the Panel’s review </w:t>
      </w:r>
    </w:p>
    <w:p w:rsidR="00B73D61" w:rsidRPr="001C21DC" w:rsidRDefault="00B73D61" w:rsidP="00B73D61">
      <w:pPr>
        <w:tabs>
          <w:tab w:val="left" w:pos="709"/>
        </w:tabs>
        <w:suppressAutoHyphens/>
        <w:autoSpaceDE w:val="0"/>
        <w:ind w:left="450"/>
        <w:jc w:val="both"/>
        <w:rPr>
          <w:lang w:val="en-GB"/>
        </w:rPr>
      </w:pPr>
    </w:p>
    <w:p w:rsidR="00401775"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will consider the allegations under Article 3 of the ECHR, applying the same scope of review as was set out with regard to Article 2 (see §§ </w:t>
      </w:r>
      <w:r w:rsidR="005A35A3">
        <w:fldChar w:fldCharType="begin"/>
      </w:r>
      <w:r w:rsidR="005A35A3">
        <w:instrText xml:space="preserve"> REF _Ref390964517 \r \h  \* MERGEFORMAT </w:instrText>
      </w:r>
      <w:r w:rsidR="005A35A3">
        <w:fldChar w:fldCharType="separate"/>
      </w:r>
      <w:r w:rsidR="00D0695D" w:rsidRPr="00D0695D">
        <w:rPr>
          <w:lang w:val="en-GB"/>
        </w:rPr>
        <w:t>60</w:t>
      </w:r>
      <w:r w:rsidR="005A35A3">
        <w:fldChar w:fldCharType="end"/>
      </w:r>
      <w:r w:rsidR="007E1ECA" w:rsidRPr="001C21DC">
        <w:rPr>
          <w:lang w:val="en-GB"/>
        </w:rPr>
        <w:t xml:space="preserve">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211389" w:rsidRPr="001C21DC">
        <w:t xml:space="preserve"> </w:t>
      </w:r>
      <w:r w:rsidR="007E1ECA" w:rsidRPr="001C21DC">
        <w:rPr>
          <w:lang w:val="en-GB"/>
        </w:rPr>
        <w:t>above).</w:t>
      </w:r>
    </w:p>
    <w:p w:rsidR="00401775" w:rsidRPr="001C21DC" w:rsidRDefault="00401775" w:rsidP="00401775">
      <w:pPr>
        <w:tabs>
          <w:tab w:val="left" w:pos="709"/>
        </w:tabs>
        <w:suppressAutoHyphens/>
        <w:autoSpaceDE w:val="0"/>
        <w:ind w:left="450"/>
        <w:jc w:val="both"/>
        <w:rPr>
          <w:lang w:val="en-GB"/>
        </w:rPr>
      </w:pPr>
    </w:p>
    <w:p w:rsidR="00211389"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The Panel recalls that the European Court of Human Rights has found on many occasions that a situation of enforced disappearance gives rise to a violation of Article</w:t>
      </w:r>
      <w:r w:rsidR="008A384F" w:rsidRPr="001C21DC">
        <w:rPr>
          <w:lang w:val="en-GB"/>
        </w:rPr>
        <w:t xml:space="preserve"> </w:t>
      </w:r>
      <w:r w:rsidRPr="001C21DC">
        <w:rPr>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w:t>
      </w:r>
      <w:r w:rsidR="00CF7241" w:rsidRPr="001C21DC">
        <w:rPr>
          <w:lang w:val="en-GB"/>
        </w:rPr>
        <w:t>[GC]</w:t>
      </w:r>
      <w:r w:rsidRPr="001C21DC">
        <w:rPr>
          <w:lang w:val="en-GB"/>
        </w:rPr>
        <w:t xml:space="preserve">, </w:t>
      </w:r>
      <w:r w:rsidRPr="001C21DC">
        <w:rPr>
          <w:i/>
          <w:lang w:val="en-GB"/>
        </w:rPr>
        <w:t>Çakici v. Turkey</w:t>
      </w:r>
      <w:r w:rsidRPr="001C21DC">
        <w:rPr>
          <w:lang w:val="en-GB"/>
        </w:rPr>
        <w:t>,</w:t>
      </w:r>
      <w:r w:rsidR="00401775" w:rsidRPr="001C21DC">
        <w:rPr>
          <w:lang w:val="en-GB"/>
        </w:rPr>
        <w:t xml:space="preserve"> no. 23657/94, judgment of 8 July 1999</w:t>
      </w:r>
      <w:r w:rsidR="009B789A" w:rsidRPr="001C21DC">
        <w:rPr>
          <w:lang w:val="en-GB"/>
        </w:rPr>
        <w:t xml:space="preserve">, at </w:t>
      </w:r>
      <w:r w:rsidRPr="001C21DC">
        <w:rPr>
          <w:lang w:val="en-GB"/>
        </w:rPr>
        <w:t xml:space="preserve">§ 98; ECtHR </w:t>
      </w:r>
      <w:r w:rsidR="00CF7241" w:rsidRPr="001C21DC">
        <w:rPr>
          <w:lang w:val="en-GB"/>
        </w:rPr>
        <w:t>[GC]</w:t>
      </w:r>
      <w:r w:rsidRPr="001C21DC">
        <w:rPr>
          <w:lang w:val="en-GB"/>
        </w:rPr>
        <w:t xml:space="preserve">, </w:t>
      </w:r>
      <w:r w:rsidRPr="001C21DC">
        <w:rPr>
          <w:i/>
          <w:lang w:val="en-GB"/>
        </w:rPr>
        <w:t>Cyprus v. Turkey</w:t>
      </w:r>
      <w:r w:rsidRPr="001C21DC">
        <w:rPr>
          <w:lang w:val="en-GB"/>
        </w:rPr>
        <w:t xml:space="preserve">, </w:t>
      </w:r>
      <w:r w:rsidR="00401775" w:rsidRPr="001C21DC">
        <w:rPr>
          <w:lang w:val="en-GB"/>
        </w:rPr>
        <w:t>cited in § 65 above</w:t>
      </w:r>
      <w:r w:rsidR="009B789A" w:rsidRPr="001C21DC">
        <w:rPr>
          <w:lang w:val="en-GB"/>
        </w:rPr>
        <w:t xml:space="preserve">, at </w:t>
      </w:r>
      <w:r w:rsidRPr="001C21DC">
        <w:rPr>
          <w:lang w:val="en-GB"/>
        </w:rPr>
        <w:t xml:space="preserve">§ 156; ECtHR, </w:t>
      </w:r>
      <w:r w:rsidRPr="001C21DC">
        <w:rPr>
          <w:i/>
          <w:lang w:val="en-GB"/>
        </w:rPr>
        <w:t>Orhan v. Turkey</w:t>
      </w:r>
      <w:r w:rsidRPr="001C21DC">
        <w:rPr>
          <w:lang w:val="en-GB"/>
        </w:rPr>
        <w:t xml:space="preserve">, </w:t>
      </w:r>
      <w:r w:rsidR="00401775" w:rsidRPr="001C21DC">
        <w:rPr>
          <w:lang w:val="en-GB"/>
        </w:rPr>
        <w:t>no.</w:t>
      </w:r>
      <w:r w:rsidR="00401775" w:rsidRPr="001C21DC">
        <w:t xml:space="preserve"> </w:t>
      </w:r>
      <w:r w:rsidR="00401775" w:rsidRPr="001C21DC">
        <w:rPr>
          <w:lang w:val="en-GB"/>
        </w:rPr>
        <w:t>25656/94, judgment of 6 November 2002</w:t>
      </w:r>
      <w:r w:rsidRPr="001C21DC">
        <w:rPr>
          <w:lang w:val="en-GB"/>
        </w:rPr>
        <w:t xml:space="preserve"> </w:t>
      </w:r>
      <w:r w:rsidR="009B789A" w:rsidRPr="001C21DC">
        <w:rPr>
          <w:lang w:val="en-GB"/>
        </w:rPr>
        <w:t xml:space="preserve">at </w:t>
      </w:r>
      <w:r w:rsidRPr="001C21DC">
        <w:rPr>
          <w:lang w:val="en-GB"/>
        </w:rPr>
        <w:t xml:space="preserve">§ 358; ECtHR, </w:t>
      </w:r>
      <w:r w:rsidRPr="001C21DC">
        <w:rPr>
          <w:i/>
          <w:lang w:val="en-GB"/>
        </w:rPr>
        <w:t>Bazorkina v. Russia</w:t>
      </w:r>
      <w:r w:rsidRPr="001C21DC">
        <w:rPr>
          <w:lang w:val="en-GB"/>
        </w:rPr>
        <w:t xml:space="preserve">, </w:t>
      </w:r>
      <w:r w:rsidR="00401775" w:rsidRPr="001C21DC">
        <w:rPr>
          <w:lang w:val="en-GB"/>
        </w:rPr>
        <w:t>cited in § 115 above</w:t>
      </w:r>
      <w:r w:rsidRPr="001C21DC">
        <w:rPr>
          <w:lang w:val="en-GB"/>
        </w:rPr>
        <w:t>, at §</w:t>
      </w:r>
      <w:r w:rsidR="008A384F" w:rsidRPr="001C21DC">
        <w:rPr>
          <w:lang w:val="en-GB"/>
        </w:rPr>
        <w:t xml:space="preserve"> </w:t>
      </w:r>
      <w:r w:rsidRPr="001C21DC">
        <w:rPr>
          <w:lang w:val="en-GB"/>
        </w:rPr>
        <w:t xml:space="preserve">139; ECtHR, </w:t>
      </w:r>
      <w:r w:rsidRPr="001C21DC">
        <w:rPr>
          <w:i/>
          <w:lang w:val="en-GB"/>
        </w:rPr>
        <w:t>Palić v. Bosnia and Herzegovina,</w:t>
      </w:r>
      <w:r w:rsidRPr="001C21DC">
        <w:rPr>
          <w:lang w:val="en-GB"/>
        </w:rPr>
        <w:t xml:space="preserve"> cited in § </w:t>
      </w:r>
      <w:r w:rsidR="00401775" w:rsidRPr="001C21DC">
        <w:t>105</w:t>
      </w:r>
      <w:r w:rsidRPr="001C21DC">
        <w:rPr>
          <w:lang w:val="en-GB"/>
        </w:rPr>
        <w:t xml:space="preserve"> above, at § 74; ECtHR, </w:t>
      </w:r>
      <w:r w:rsidRPr="001C21DC">
        <w:rPr>
          <w:i/>
          <w:lang w:val="en-GB"/>
        </w:rPr>
        <w:t>Alpatu Israilova v. Russia</w:t>
      </w:r>
      <w:r w:rsidRPr="001C21DC">
        <w:rPr>
          <w:lang w:val="en-GB"/>
        </w:rPr>
        <w:t xml:space="preserve">, no. 15438/05, judgment of 14 March 2013, § 69; see also HRAP, </w:t>
      </w:r>
      <w:r w:rsidRPr="001C21DC">
        <w:rPr>
          <w:i/>
          <w:lang w:val="en-GB"/>
        </w:rPr>
        <w:t>Zdravković</w:t>
      </w:r>
      <w:r w:rsidRPr="001C21DC">
        <w:rPr>
          <w:lang w:val="en-GB"/>
        </w:rPr>
        <w:t xml:space="preserve">, </w:t>
      </w:r>
      <w:r w:rsidR="00401775" w:rsidRPr="001C21DC">
        <w:rPr>
          <w:lang w:val="en-GB"/>
        </w:rPr>
        <w:t>opinion of 25 February 20</w:t>
      </w:r>
      <w:r w:rsidRPr="001C21DC">
        <w:rPr>
          <w:lang w:val="en-GB"/>
        </w:rPr>
        <w:t>1</w:t>
      </w:r>
      <w:r w:rsidR="00401775" w:rsidRPr="001C21DC">
        <w:rPr>
          <w:lang w:val="en-GB"/>
        </w:rPr>
        <w:t>3</w:t>
      </w:r>
      <w:r w:rsidRPr="001C21DC">
        <w:rPr>
          <w:lang w:val="en-GB"/>
        </w:rPr>
        <w:t xml:space="preserve">). “It is especially in respect of the latter that a relative may claim directly to be a victim of the authorities’ conduct” (see, among others, ECtHR, </w:t>
      </w:r>
      <w:r w:rsidRPr="001C21DC">
        <w:rPr>
          <w:i/>
          <w:lang w:val="en-GB"/>
        </w:rPr>
        <w:t>Er and Others v. Turkey</w:t>
      </w:r>
      <w:r w:rsidRPr="001C21DC">
        <w:rPr>
          <w:lang w:val="en-GB"/>
        </w:rPr>
        <w:t>, no.</w:t>
      </w:r>
      <w:r w:rsidR="008A384F" w:rsidRPr="001C21DC">
        <w:rPr>
          <w:lang w:val="en-GB"/>
        </w:rPr>
        <w:t xml:space="preserve"> </w:t>
      </w:r>
      <w:r w:rsidRPr="001C21DC">
        <w:rPr>
          <w:lang w:val="en-GB"/>
        </w:rPr>
        <w:t>23016/04, judgment of 31 July 2012, § 94).</w:t>
      </w:r>
      <w:bookmarkStart w:id="43" w:name="_Ref366241358"/>
    </w:p>
    <w:p w:rsidR="00211389" w:rsidRPr="001C21DC" w:rsidRDefault="00211389" w:rsidP="00211389">
      <w:pPr>
        <w:tabs>
          <w:tab w:val="left" w:pos="709"/>
        </w:tabs>
        <w:suppressAutoHyphens/>
        <w:autoSpaceDE w:val="0"/>
        <w:ind w:left="450"/>
        <w:jc w:val="both"/>
        <w:rPr>
          <w:lang w:val="en-G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1C21DC">
        <w:rPr>
          <w:i/>
          <w:lang w:val="en-GB"/>
        </w:rPr>
        <w:t>Gelayevy v. Russia</w:t>
      </w:r>
      <w:r w:rsidRPr="001C21DC">
        <w:rPr>
          <w:lang w:val="en-GB"/>
        </w:rPr>
        <w:t>, no. 20216/07, judgment of 15 July 2010, §§ 147-148).</w:t>
      </w:r>
      <w:bookmarkEnd w:id="43"/>
    </w:p>
    <w:p w:rsidR="00211389" w:rsidRDefault="00211389" w:rsidP="00211389">
      <w:pPr>
        <w:pStyle w:val="ListParagraph"/>
        <w:rPr>
          <w:lang w:val="en-GB"/>
        </w:rPr>
      </w:pPr>
    </w:p>
    <w:p w:rsidR="00C56682" w:rsidRDefault="00C56682" w:rsidP="00211389">
      <w:pPr>
        <w:pStyle w:val="ListParagraph"/>
        <w:rPr>
          <w:lang w:val="en-GB"/>
        </w:rPr>
      </w:pPr>
    </w:p>
    <w:p w:rsidR="00C56682" w:rsidRPr="001C21DC" w:rsidRDefault="00C56682" w:rsidP="00211389">
      <w:pPr>
        <w:pStyle w:val="ListParagraph"/>
        <w:rPr>
          <w:lang w:val="en-GB"/>
        </w:rPr>
      </w:pPr>
    </w:p>
    <w:p w:rsidR="00211389" w:rsidRPr="001C21DC" w:rsidRDefault="00D30F4B" w:rsidP="004D4D50">
      <w:pPr>
        <w:pStyle w:val="ListParagraph1"/>
        <w:numPr>
          <w:ilvl w:val="0"/>
          <w:numId w:val="8"/>
        </w:numPr>
        <w:tabs>
          <w:tab w:val="num" w:pos="284"/>
        </w:tabs>
        <w:ind w:left="284" w:hanging="284"/>
        <w:jc w:val="both"/>
        <w:rPr>
          <w:b/>
        </w:rPr>
      </w:pPr>
      <w:r w:rsidRPr="001C21DC">
        <w:t xml:space="preserve"> </w:t>
      </w:r>
      <w:r w:rsidR="00211389" w:rsidRPr="001C21DC">
        <w:rPr>
          <w:b/>
        </w:rPr>
        <w:t xml:space="preserve">The Parties’ submissions </w:t>
      </w:r>
    </w:p>
    <w:p w:rsidR="004D4D50" w:rsidRPr="001C21DC" w:rsidRDefault="004D4D50" w:rsidP="004D4D50">
      <w:pPr>
        <w:pStyle w:val="ListParagraph1"/>
        <w:ind w:left="284"/>
        <w:jc w:val="both"/>
        <w:rPr>
          <w: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The complainant</w:t>
      </w:r>
      <w:r w:rsidR="00D15BA1" w:rsidRPr="001C21DC">
        <w:rPr>
          <w:lang w:val="en-GB"/>
        </w:rPr>
        <w:t>s</w:t>
      </w:r>
      <w:r w:rsidRPr="001C21DC">
        <w:rPr>
          <w:lang w:val="en-GB"/>
        </w:rPr>
        <w:t xml:space="preserve"> </w:t>
      </w:r>
      <w:r w:rsidR="008A384F" w:rsidRPr="001C21DC">
        <w:rPr>
          <w:lang w:val="en-GB"/>
        </w:rPr>
        <w:t xml:space="preserve">in substance </w:t>
      </w:r>
      <w:r w:rsidRPr="001C21DC">
        <w:rPr>
          <w:lang w:val="en-GB"/>
        </w:rPr>
        <w:t xml:space="preserve">allege that the lack of information and certainty surrounding the </w:t>
      </w:r>
      <w:r w:rsidR="004B095F" w:rsidRPr="001C21DC">
        <w:rPr>
          <w:lang w:val="en-GB"/>
        </w:rPr>
        <w:t xml:space="preserve">abduction </w:t>
      </w:r>
      <w:r w:rsidR="00211389" w:rsidRPr="001C21DC">
        <w:rPr>
          <w:lang w:val="en-GB"/>
        </w:rPr>
        <w:t>and pr</w:t>
      </w:r>
      <w:r w:rsidR="00F303B9" w:rsidRPr="001C21DC">
        <w:rPr>
          <w:lang w:val="en-GB"/>
        </w:rPr>
        <w:t>obable killing of M.V.</w:t>
      </w:r>
      <w:r w:rsidR="007E1ECA" w:rsidRPr="001C21DC">
        <w:rPr>
          <w:lang w:val="en-GB"/>
        </w:rPr>
        <w:t xml:space="preserve"> and </w:t>
      </w:r>
      <w:r w:rsidR="00211389" w:rsidRPr="001C21DC">
        <w:rPr>
          <w:lang w:val="en-GB"/>
        </w:rPr>
        <w:t xml:space="preserve">the abduction and killing of </w:t>
      </w:r>
      <w:r w:rsidR="00F303B9" w:rsidRPr="001C21DC">
        <w:rPr>
          <w:lang w:val="en-GB"/>
        </w:rPr>
        <w:t>M.Đ.</w:t>
      </w:r>
      <w:r w:rsidRPr="001C21DC">
        <w:rPr>
          <w:lang w:val="en-GB"/>
        </w:rPr>
        <w:t xml:space="preserve">, particularly because of UNMIK’s failure to properly investigate </w:t>
      </w:r>
      <w:r w:rsidR="007E1ECA" w:rsidRPr="001C21DC">
        <w:rPr>
          <w:lang w:val="en-GB"/>
        </w:rPr>
        <w:t>their</w:t>
      </w:r>
      <w:r w:rsidRPr="001C21DC">
        <w:rPr>
          <w:lang w:val="en-GB"/>
        </w:rPr>
        <w:t xml:space="preserve"> </w:t>
      </w:r>
      <w:r w:rsidR="00E5405A" w:rsidRPr="001C21DC">
        <w:rPr>
          <w:lang w:val="en-GB"/>
        </w:rPr>
        <w:t>case</w:t>
      </w:r>
      <w:r w:rsidRPr="001C21DC">
        <w:rPr>
          <w:lang w:val="en-GB"/>
        </w:rPr>
        <w:t xml:space="preserve">, caused mental suffering to </w:t>
      </w:r>
      <w:r w:rsidR="00D15BA1" w:rsidRPr="001C21DC">
        <w:rPr>
          <w:lang w:val="en-GB"/>
        </w:rPr>
        <w:t>them</w:t>
      </w:r>
      <w:r w:rsidRPr="001C21DC">
        <w:rPr>
          <w:lang w:val="en-GB"/>
        </w:rPr>
        <w:t xml:space="preserve"> and </w:t>
      </w:r>
      <w:r w:rsidR="00D15BA1" w:rsidRPr="001C21DC">
        <w:rPr>
          <w:lang w:val="en-GB"/>
        </w:rPr>
        <w:t>their</w:t>
      </w:r>
      <w:r w:rsidRPr="001C21DC">
        <w:rPr>
          <w:lang w:val="en-GB"/>
        </w:rPr>
        <w:t xml:space="preserve"> famil</w:t>
      </w:r>
      <w:r w:rsidR="007E1ECA" w:rsidRPr="001C21DC">
        <w:rPr>
          <w:lang w:val="en-GB"/>
        </w:rPr>
        <w:t>ies</w:t>
      </w:r>
      <w:r w:rsidRPr="001C21DC">
        <w:rPr>
          <w:lang w:val="en-GB"/>
        </w:rPr>
        <w:t>.</w:t>
      </w:r>
    </w:p>
    <w:p w:rsidR="00211389" w:rsidRPr="001C21DC" w:rsidRDefault="00211389" w:rsidP="00211389">
      <w:pPr>
        <w:tabs>
          <w:tab w:val="left" w:pos="709"/>
        </w:tabs>
        <w:suppressAutoHyphens/>
        <w:autoSpaceDE w:val="0"/>
        <w:ind w:left="450"/>
        <w:jc w:val="both"/>
        <w:rPr>
          <w:lang w:val="en-GB"/>
        </w:rPr>
      </w:pPr>
    </w:p>
    <w:p w:rsidR="00211389" w:rsidRPr="001C21DC" w:rsidRDefault="00211389" w:rsidP="00211389">
      <w:pPr>
        <w:numPr>
          <w:ilvl w:val="0"/>
          <w:numId w:val="2"/>
        </w:numPr>
        <w:tabs>
          <w:tab w:val="clear" w:pos="360"/>
          <w:tab w:val="left" w:pos="709"/>
        </w:tabs>
        <w:suppressAutoHyphens/>
        <w:autoSpaceDE w:val="0"/>
        <w:ind w:left="450" w:hanging="450"/>
        <w:jc w:val="both"/>
        <w:rPr>
          <w:lang w:val="en-GB"/>
        </w:rPr>
      </w:pPr>
      <w:r w:rsidRPr="001C21DC">
        <w:rPr>
          <w:lang w:val="en-GB"/>
        </w:rPr>
        <w:t>With</w:t>
      </w:r>
      <w:r w:rsidRPr="001C21DC">
        <w:rPr>
          <w:bCs/>
          <w:lang w:val="en-GB"/>
        </w:rPr>
        <w:t xml:space="preserve"> respect to Article 3, the SRSG acknowledges that the European Court of Human Rights has established in its case-law that the situation of the relatives of missing persons may disclose inhuman and degrading treatment contrary to Article 3. In particular,  the Court has determined that the finding of such a violation is not limited to cases where the respondent authority has been held responsible for the disappearance, but can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w:t>
      </w:r>
    </w:p>
    <w:p w:rsidR="00211389" w:rsidRPr="001C21DC" w:rsidRDefault="00211389" w:rsidP="00211389">
      <w:pPr>
        <w:pStyle w:val="ListParagraph"/>
        <w:rPr>
          <w:lang w:val="en-GB"/>
        </w:rPr>
      </w:pPr>
    </w:p>
    <w:p w:rsidR="00CC5035" w:rsidRPr="001C21DC" w:rsidRDefault="00211389" w:rsidP="00CC503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CC5035" w:rsidRPr="001C21DC">
        <w:rPr>
          <w:lang w:val="en-GB"/>
        </w:rPr>
        <w:t>first</w:t>
      </w:r>
      <w:r w:rsidR="00F303B9" w:rsidRPr="001C21DC">
        <w:rPr>
          <w:lang w:val="en-GB"/>
        </w:rPr>
        <w:t xml:space="preserve"> complainant is the father of M.V.</w:t>
      </w:r>
      <w:r w:rsidR="00CC5035" w:rsidRPr="001C21DC">
        <w:rPr>
          <w:lang w:val="en-GB"/>
        </w:rPr>
        <w:t xml:space="preserve"> and that the secon</w:t>
      </w:r>
      <w:r w:rsidR="00F303B9" w:rsidRPr="001C21DC">
        <w:rPr>
          <w:lang w:val="en-GB"/>
        </w:rPr>
        <w:t>d complainant is the wife of M.Đ.</w:t>
      </w:r>
      <w:r w:rsidR="00CC5035" w:rsidRPr="001C21DC">
        <w:rPr>
          <w:lang w:val="en-GB"/>
        </w:rPr>
        <w:t xml:space="preserve">; however neither of them witnessed the abduction. Further, </w:t>
      </w:r>
      <w:r w:rsidRPr="001C21DC">
        <w:rPr>
          <w:lang w:val="en-GB"/>
        </w:rPr>
        <w:t xml:space="preserve">according to the SRSG, “there are no allegations </w:t>
      </w:r>
      <w:r w:rsidR="00FA46EB" w:rsidRPr="001C21DC">
        <w:rPr>
          <w:lang w:val="en-GB"/>
        </w:rPr>
        <w:t>by either of the C</w:t>
      </w:r>
      <w:r w:rsidRPr="001C21DC">
        <w:rPr>
          <w:lang w:val="en-GB"/>
        </w:rPr>
        <w:t xml:space="preserve">omplainants of any bad faith on the part of UNMIK </w:t>
      </w:r>
      <w:r w:rsidR="00FA46EB" w:rsidRPr="001C21DC">
        <w:rPr>
          <w:lang w:val="en-GB"/>
        </w:rPr>
        <w:t>personnel</w:t>
      </w:r>
      <w:r w:rsidRPr="001C21DC">
        <w:rPr>
          <w:lang w:val="en-GB"/>
        </w:rPr>
        <w:t xml:space="preserve"> involved with the matter, nor of any attitude by UNMIK Police that would have evidenced any disregard for the seriousness of the matter or the emotions of the Complainant</w:t>
      </w:r>
      <w:r w:rsidR="00FA46EB" w:rsidRPr="001C21DC">
        <w:rPr>
          <w:lang w:val="en-GB"/>
        </w:rPr>
        <w:t>s and their family members</w:t>
      </w:r>
      <w:r w:rsidRPr="001C21DC">
        <w:rPr>
          <w:lang w:val="en-GB"/>
        </w:rPr>
        <w:t>”. The SRSG also states that there is no documentation or claim that UNMIK acted inappropriately when responding to enquiries of the complainant or with an attitude amounting to a violation of Article 3 of the ECHR.</w:t>
      </w:r>
    </w:p>
    <w:p w:rsidR="00CC5035" w:rsidRPr="001C21DC" w:rsidRDefault="00CC5035" w:rsidP="00CC5035">
      <w:pPr>
        <w:pStyle w:val="ListParagraph"/>
        <w:rPr>
          <w:lang w:val="en-GB"/>
        </w:rPr>
      </w:pPr>
    </w:p>
    <w:p w:rsidR="00401775" w:rsidRPr="001C21DC" w:rsidRDefault="00211389"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FA46EB" w:rsidRPr="001C21DC">
        <w:rPr>
          <w:lang w:val="en-GB"/>
        </w:rPr>
        <w:t xml:space="preserve">understandable </w:t>
      </w:r>
      <w:r w:rsidRPr="001C21DC">
        <w:rPr>
          <w:lang w:val="en-GB"/>
        </w:rPr>
        <w:t>mental anguish and suffering of the complainant</w:t>
      </w:r>
      <w:r w:rsidR="00FA46EB" w:rsidRPr="001C21DC">
        <w:rPr>
          <w:lang w:val="en-GB"/>
        </w:rPr>
        <w:t>s</w:t>
      </w:r>
      <w:r w:rsidRPr="001C21DC">
        <w:rPr>
          <w:lang w:val="en-GB"/>
        </w:rPr>
        <w:t xml:space="preserve"> cannot be attributed to UNMIK but it is rather “a result of the inherent suffering that results from the disappearance</w:t>
      </w:r>
      <w:r w:rsidR="00FA46EB" w:rsidRPr="001C21DC">
        <w:rPr>
          <w:lang w:val="en-GB"/>
        </w:rPr>
        <w:t xml:space="preserve"> and death of</w:t>
      </w:r>
      <w:r w:rsidRPr="001C21DC">
        <w:rPr>
          <w:lang w:val="en-GB"/>
        </w:rPr>
        <w:t xml:space="preserve"> close family members</w:t>
      </w:r>
      <w:r w:rsidR="00FA46EB" w:rsidRPr="001C21DC">
        <w:rPr>
          <w:lang w:val="en-GB"/>
        </w:rPr>
        <w:t>”</w:t>
      </w:r>
      <w:r w:rsidRPr="001C21DC">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r w:rsidR="00FA46EB" w:rsidRPr="001C21DC">
        <w:rPr>
          <w:lang w:val="en-GB"/>
        </w:rPr>
        <w:t xml:space="preserve">The SRSG argues that, as this was not the case, UNMIK cannot be held responsible for a violation </w:t>
      </w:r>
      <w:r w:rsidRPr="001C21DC">
        <w:rPr>
          <w:lang w:val="en-GB"/>
        </w:rPr>
        <w:t xml:space="preserve">of Article 3. </w:t>
      </w:r>
    </w:p>
    <w:p w:rsidR="00401775" w:rsidRPr="001C21DC" w:rsidRDefault="00401775" w:rsidP="00401775">
      <w:pPr>
        <w:pStyle w:val="ListParagraph"/>
        <w:rPr>
          <w:lang w:val="en-GB"/>
        </w:rPr>
      </w:pPr>
    </w:p>
    <w:p w:rsidR="00401775" w:rsidRPr="001C21DC" w:rsidRDefault="00401775" w:rsidP="00401775">
      <w:pPr>
        <w:pStyle w:val="ListParagraph1"/>
        <w:numPr>
          <w:ilvl w:val="0"/>
          <w:numId w:val="8"/>
        </w:numPr>
        <w:tabs>
          <w:tab w:val="num" w:pos="284"/>
        </w:tabs>
        <w:ind w:left="284" w:hanging="284"/>
        <w:jc w:val="both"/>
        <w:rPr>
          <w:b/>
        </w:rPr>
      </w:pPr>
      <w:r w:rsidRPr="001C21DC">
        <w:rPr>
          <w:b/>
        </w:rPr>
        <w:t xml:space="preserve">The Panel’s assessment </w:t>
      </w:r>
    </w:p>
    <w:p w:rsidR="00401775" w:rsidRPr="001C21DC" w:rsidRDefault="00401775" w:rsidP="00401775">
      <w:pPr>
        <w:pStyle w:val="ListParagraph1"/>
        <w:tabs>
          <w:tab w:val="num" w:pos="567"/>
        </w:tabs>
        <w:ind w:left="567" w:hanging="425"/>
        <w:jc w:val="both"/>
        <w:rPr>
          <w:b/>
        </w:rPr>
      </w:pPr>
    </w:p>
    <w:p w:rsidR="00401775" w:rsidRPr="001C21DC" w:rsidRDefault="00401775" w:rsidP="00401775">
      <w:pPr>
        <w:pStyle w:val="ListParagraph1"/>
        <w:numPr>
          <w:ilvl w:val="0"/>
          <w:numId w:val="9"/>
        </w:numPr>
        <w:tabs>
          <w:tab w:val="num" w:pos="284"/>
        </w:tabs>
        <w:ind w:left="284" w:hanging="284"/>
        <w:jc w:val="both"/>
        <w:rPr>
          <w:b/>
        </w:rPr>
      </w:pPr>
      <w:r w:rsidRPr="001C21DC">
        <w:rPr>
          <w:i/>
          <w:color w:val="000000"/>
          <w:lang w:eastAsia="en-US"/>
        </w:rPr>
        <w:t xml:space="preserve"> General principles concerning the obligation under Article 3</w:t>
      </w:r>
    </w:p>
    <w:p w:rsidR="00401775" w:rsidRPr="001C21DC" w:rsidRDefault="00401775" w:rsidP="00401775">
      <w:pPr>
        <w:pStyle w:val="ListParagraph"/>
        <w:rPr>
          <w:lang w:val="en-GB"/>
        </w:rPr>
      </w:pPr>
    </w:p>
    <w:p w:rsidR="00113CF2" w:rsidRPr="001C21DC" w:rsidRDefault="00401775"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Like Article 2, Article 3 of the ECHR enshrines one of the most fundamental values in democratic societies (ECtHR, </w:t>
      </w:r>
      <w:r w:rsidRPr="001C21DC">
        <w:rPr>
          <w:i/>
          <w:lang w:val="en-GB"/>
        </w:rPr>
        <w:t>Talat Tepe v. Turkey</w:t>
      </w:r>
      <w:r w:rsidRPr="001C21DC">
        <w:rPr>
          <w:lang w:val="en-GB"/>
        </w:rPr>
        <w:t xml:space="preserve">, no. 31247/96, 21 December 2004, § 47; ECtHR [GC], </w:t>
      </w:r>
      <w:r w:rsidRPr="001C21DC">
        <w:rPr>
          <w:i/>
          <w:lang w:val="en-GB"/>
        </w:rPr>
        <w:t>Ilaşcu and Others v. Moldova and Russia</w:t>
      </w:r>
      <w:r w:rsidRPr="001C21DC">
        <w:rPr>
          <w:lang w:val="en-GB"/>
        </w:rPr>
        <w:t>, no. 48787/99, judgment of 8 July 2004, ECHR, 2004-VII, § 424). As confirmed by the absolute nature conferred on it by Article 15 § 2 of the ECHR, the prohibition of torture and inhuman and degrading treatment still applies even in most difficult circumstances.</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009B789A" w:rsidRPr="001C21DC">
        <w:rPr>
          <w:i/>
          <w:lang w:val="en-GB"/>
        </w:rPr>
        <w:t>Velásquez-Rodríguez v. Honduras</w:t>
      </w:r>
      <w:r w:rsidRPr="001C21DC">
        <w:rPr>
          <w:lang w:val="en-GB"/>
        </w:rPr>
        <w:t>, cited in §</w:t>
      </w:r>
      <w:r w:rsidR="00113CF2" w:rsidRPr="001C21DC">
        <w:rPr>
          <w:lang w:val="en-GB"/>
        </w:rPr>
        <w:t xml:space="preserve"> </w:t>
      </w:r>
      <w:r w:rsidR="005A35A3">
        <w:fldChar w:fldCharType="begin"/>
      </w:r>
      <w:r w:rsidR="005A35A3">
        <w:instrText xml:space="preserve"> REF _Ref366241114 \r \h  \* MERGEFORMAT </w:instrText>
      </w:r>
      <w:r w:rsidR="005A35A3">
        <w:fldChar w:fldCharType="separate"/>
      </w:r>
      <w:r w:rsidR="00D0695D" w:rsidRPr="00D0695D">
        <w:rPr>
          <w:lang w:val="en-GB"/>
        </w:rPr>
        <w:t>101</w:t>
      </w:r>
      <w:r w:rsidR="005A35A3">
        <w:fldChar w:fldCharType="end"/>
      </w:r>
      <w:r w:rsidRPr="001C21DC">
        <w:rPr>
          <w:lang w:val="en-GB"/>
        </w:rPr>
        <w:t xml:space="preserve"> above, at § 150)</w:t>
      </w:r>
      <w:r w:rsidR="005F341C" w:rsidRPr="001C21DC">
        <w:rPr>
          <w:lang w:val="en-GB"/>
        </w:rPr>
        <w: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HRC has also recognised disappearances as a serious violation of human rights. In its decision of 21 July 1983, in the case </w:t>
      </w:r>
      <w:r w:rsidRPr="001C21DC">
        <w:rPr>
          <w:i/>
          <w:lang w:val="en-GB"/>
        </w:rPr>
        <w:t>Quinteros v. Urugay</w:t>
      </w:r>
      <w:r w:rsidRPr="001C21DC">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1C21DC">
        <w:rPr>
          <w:i/>
          <w:lang w:val="en-GB"/>
        </w:rPr>
        <w:t>Mojica</w:t>
      </w:r>
      <w:r w:rsidRPr="001C21DC">
        <w:rPr>
          <w:lang w:val="en-GB"/>
        </w:rPr>
        <w:t xml:space="preserve">, the HRC has deemed that “the disappearance of persons is inseparably linked to treatment that amounts to a violation of article 7 </w:t>
      </w:r>
      <w:r w:rsidRPr="001C21DC">
        <w:rPr>
          <w:lang w:val="en-GB"/>
        </w:rPr>
        <w:sym w:font="Symbol" w:char="F05B"/>
      </w:r>
      <w:r w:rsidRPr="001C21DC">
        <w:rPr>
          <w:lang w:val="en-GB"/>
        </w:rPr>
        <w:t>of the Covenant</w:t>
      </w:r>
      <w:r w:rsidRPr="001C21DC">
        <w:rPr>
          <w:lang w:val="en-GB"/>
        </w:rPr>
        <w:sym w:font="Symbol" w:char="F05D"/>
      </w:r>
      <w:r w:rsidRPr="001C21DC">
        <w:rPr>
          <w:lang w:val="en-GB"/>
        </w:rPr>
        <w:t xml:space="preserve">”, also prohibiting torture, inhumane or degrading treatment and punishment (see HRC, </w:t>
      </w:r>
      <w:r w:rsidR="009B789A" w:rsidRPr="001C21DC">
        <w:rPr>
          <w:i/>
          <w:lang w:val="en-GB"/>
        </w:rPr>
        <w:t>Mojica v. Dominican Republic</w:t>
      </w:r>
      <w:r w:rsidR="009B789A" w:rsidRPr="001C21DC">
        <w:rPr>
          <w:lang w:val="en-GB"/>
        </w:rPr>
        <w:t xml:space="preserve">, </w:t>
      </w:r>
      <w:r w:rsidRPr="001C21DC">
        <w:rPr>
          <w:lang w:val="en-GB"/>
        </w:rPr>
        <w:t>Communication No. 449/1991, U.N. Doc. CCPR/C/51/D/449/1991 (1994), § 5.7).</w:t>
      </w:r>
      <w:bookmarkStart w:id="44" w:name="_Ref378349751"/>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C21DC">
        <w:rPr>
          <w:lang w:val="en-GB"/>
        </w:rPr>
        <w:sym w:font="Symbol" w:char="F05B"/>
      </w:r>
      <w:r w:rsidRPr="001C21DC">
        <w:rPr>
          <w:lang w:val="en-GB"/>
        </w:rPr>
        <w:t>family member</w:t>
      </w:r>
      <w:r w:rsidRPr="001C21DC">
        <w:rPr>
          <w:lang w:val="en-GB"/>
        </w:rPr>
        <w:sym w:font="Symbol" w:char="F05D"/>
      </w:r>
      <w:r w:rsidRPr="001C21DC">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1C21DC">
        <w:rPr>
          <w:i/>
          <w:lang w:val="en-GB"/>
        </w:rPr>
        <w:t>Basayeva and Others v. Russia</w:t>
      </w:r>
      <w:r w:rsidRPr="001C21DC">
        <w:rPr>
          <w:lang w:val="en-GB"/>
        </w:rPr>
        <w:t xml:space="preserve">, nos. 15441/05 and 20731/04, judgment of 28 May 2009, § 159; ECtHR, </w:t>
      </w:r>
      <w:r w:rsidRPr="001C21DC">
        <w:rPr>
          <w:i/>
          <w:lang w:val="en-GB"/>
        </w:rPr>
        <w:t>Er</w:t>
      </w:r>
      <w:r w:rsidR="00BC4DA7" w:rsidRPr="001C21DC">
        <w:rPr>
          <w:i/>
          <w:lang w:val="en-GB"/>
        </w:rPr>
        <w:t>gi</w:t>
      </w:r>
      <w:r w:rsidRPr="001C21DC">
        <w:rPr>
          <w:i/>
          <w:lang w:val="en-GB"/>
        </w:rPr>
        <w:t xml:space="preserve"> and Others v. Turkey</w:t>
      </w:r>
      <w:r w:rsidRPr="001C21DC">
        <w:rPr>
          <w:lang w:val="en-GB"/>
        </w:rPr>
        <w:t xml:space="preserve">, cited in § </w:t>
      </w:r>
      <w:r w:rsidR="005A35A3">
        <w:fldChar w:fldCharType="begin"/>
      </w:r>
      <w:r w:rsidR="005A35A3">
        <w:instrText xml:space="preserve"> REF _Ref391030021 \r \h  \* MERGEFORMAT </w:instrText>
      </w:r>
      <w:r w:rsidR="005A35A3">
        <w:fldChar w:fldCharType="separate"/>
      </w:r>
      <w:r w:rsidR="00D0695D" w:rsidRPr="00D0695D">
        <w:rPr>
          <w:lang w:val="en-GB"/>
        </w:rPr>
        <w:t>114</w:t>
      </w:r>
      <w:r w:rsidR="005A35A3">
        <w:fldChar w:fldCharType="end"/>
      </w:r>
      <w:r w:rsidR="009B789A" w:rsidRPr="001C21DC">
        <w:rPr>
          <w:lang w:val="en-GB"/>
        </w:rPr>
        <w:t xml:space="preserve"> </w:t>
      </w:r>
      <w:r w:rsidRPr="001C21DC">
        <w:rPr>
          <w:lang w:val="en-GB"/>
        </w:rPr>
        <w:t>above, at § 94).</w:t>
      </w:r>
      <w:bookmarkEnd w:id="44"/>
    </w:p>
    <w:p w:rsidR="00113CF2" w:rsidRPr="001C21DC" w:rsidRDefault="00113CF2" w:rsidP="004D4D50">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takes note that, when assessing the emotional suffering of the victims, the European Court also considers the following circumstances: the length of the disappearance itself and of the </w:t>
      </w:r>
      <w:r w:rsidRPr="001C21DC">
        <w:rPr>
          <w:color w:val="000000"/>
          <w:lang w:val="en-GB"/>
        </w:rPr>
        <w:t>period</w:t>
      </w:r>
      <w:r w:rsidRPr="001C21DC">
        <w:rPr>
          <w:lang w:val="en-GB"/>
        </w:rPr>
        <w:t xml:space="preserve"> with no information on the fate of the missing person and on the investigation undertaken by the authorities; the delay in initiation of criminal investigation into the disappearance; the absence of any “meaningful” action by the authorities, despite the fact that the complainant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1C21DC">
        <w:rPr>
          <w:i/>
          <w:lang w:val="en-GB"/>
        </w:rPr>
        <w:t>Er</w:t>
      </w:r>
      <w:r w:rsidR="00BC4DA7" w:rsidRPr="001C21DC">
        <w:rPr>
          <w:i/>
          <w:lang w:val="en-GB"/>
        </w:rPr>
        <w:t>gi</w:t>
      </w:r>
      <w:r w:rsidRPr="001C21DC">
        <w:rPr>
          <w:i/>
          <w:lang w:val="en-GB"/>
        </w:rPr>
        <w:t xml:space="preserve"> and Others v. Turkey,</w:t>
      </w:r>
      <w:r w:rsidRPr="001C21DC">
        <w:rPr>
          <w:lang w:val="en-GB"/>
        </w:rPr>
        <w:t xml:space="preserve"> cited</w:t>
      </w:r>
      <w:r w:rsidR="009B789A" w:rsidRPr="001C21DC">
        <w:rPr>
          <w:lang w:val="en-GB"/>
        </w:rPr>
        <w:t xml:space="preserve"> </w:t>
      </w:r>
      <w:r w:rsidRPr="001C21DC">
        <w:rPr>
          <w:lang w:val="en-GB"/>
        </w:rPr>
        <w:t xml:space="preserve">above, at § 96; ECtHR, </w:t>
      </w:r>
      <w:r w:rsidRPr="001C21DC">
        <w:rPr>
          <w:i/>
          <w:lang w:val="en-GB"/>
        </w:rPr>
        <w:t>Osmanoğlu v. Turkey,</w:t>
      </w:r>
      <w:r w:rsidRPr="001C21DC">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1C21DC">
        <w:rPr>
          <w:i/>
          <w:lang w:val="en-GB"/>
        </w:rPr>
        <w:t>Salakhov and Islyamova v. Ukraine,</w:t>
      </w:r>
      <w:r w:rsidRPr="001C21DC">
        <w:rPr>
          <w:lang w:val="en-GB"/>
        </w:rPr>
        <w:t xml:space="preserve"> no. 28005/08, judgment of 14 March 2013, § 201).</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bookmarkStart w:id="45" w:name="_Ref391030061"/>
      <w:r w:rsidRPr="001C21DC">
        <w:rPr>
          <w:lang w:val="en-GB"/>
        </w:rPr>
        <w:t xml:space="preserve">The HRC </w:t>
      </w:r>
      <w:r w:rsidRPr="001C21DC">
        <w:rPr>
          <w:color w:val="000000"/>
          <w:lang w:val="en-GB"/>
        </w:rPr>
        <w:t xml:space="preserve">has also considered the issue and recognised family members of disappeared or </w:t>
      </w:r>
      <w:r w:rsidRPr="001C21DC">
        <w:rPr>
          <w:lang w:val="en-GB"/>
        </w:rPr>
        <w:t>missing</w:t>
      </w:r>
      <w:r w:rsidRPr="001C21DC">
        <w:rPr>
          <w:color w:val="000000"/>
          <w:lang w:val="en-GB"/>
        </w:rPr>
        <w:t xml:space="preserve"> persons as victims of a violation of Article 7 of the Covenant: parents (</w:t>
      </w:r>
      <w:r w:rsidRPr="001C21DC">
        <w:rPr>
          <w:i/>
          <w:color w:val="000000"/>
          <w:lang w:val="en-GB"/>
        </w:rPr>
        <w:t>Boucherf v. Algeria</w:t>
      </w:r>
      <w:r w:rsidRPr="001C21DC">
        <w:rPr>
          <w:color w:val="000000"/>
          <w:lang w:val="en-GB"/>
        </w:rPr>
        <w:t xml:space="preserve">, </w:t>
      </w:r>
      <w:r w:rsidRPr="001C21DC">
        <w:rPr>
          <w:bCs/>
          <w:color w:val="000000"/>
          <w:lang w:val="en-GB"/>
        </w:rPr>
        <w:t>Communication No. 1196/2003</w:t>
      </w:r>
      <w:r w:rsidRPr="001C21DC">
        <w:rPr>
          <w:color w:val="000000"/>
          <w:lang w:val="en-GB"/>
        </w:rPr>
        <w:t>, views of 30 March 2006, § 9.7, CCPR/C/86/D/1196/2003), children (</w:t>
      </w:r>
      <w:r w:rsidRPr="001C21DC">
        <w:rPr>
          <w:i/>
          <w:color w:val="000000"/>
          <w:lang w:val="en-GB"/>
        </w:rPr>
        <w:t>Zarzi v. Algeria</w:t>
      </w:r>
      <w:r w:rsidRPr="001C21DC">
        <w:rPr>
          <w:color w:val="000000"/>
          <w:lang w:val="en-GB"/>
        </w:rPr>
        <w:t xml:space="preserve">, </w:t>
      </w:r>
      <w:r w:rsidRPr="001C21DC">
        <w:rPr>
          <w:bCs/>
          <w:color w:val="000000"/>
          <w:lang w:val="en-GB"/>
        </w:rPr>
        <w:t>Communication No. 1780/2008</w:t>
      </w:r>
      <w:r w:rsidRPr="001C21DC">
        <w:rPr>
          <w:color w:val="000000"/>
          <w:lang w:val="en-GB"/>
        </w:rPr>
        <w:t xml:space="preserve">, views of 22 March 2011, § 7.6, </w:t>
      </w:r>
      <w:r w:rsidRPr="001C21DC">
        <w:rPr>
          <w:bCs/>
          <w:color w:val="000000"/>
          <w:lang w:val="en-GB"/>
        </w:rPr>
        <w:t>CCPR/C/101/D/1780/2008</w:t>
      </w:r>
      <w:r w:rsidRPr="001C21DC">
        <w:rPr>
          <w:color w:val="000000"/>
          <w:lang w:val="en-GB"/>
        </w:rPr>
        <w:t>), siblings (</w:t>
      </w:r>
      <w:r w:rsidRPr="001C21DC">
        <w:rPr>
          <w:i/>
          <w:color w:val="000000"/>
          <w:lang w:val="en-GB"/>
        </w:rPr>
        <w:t>El Abani v. Libyan Arab Jamahiriya,</w:t>
      </w:r>
      <w:r w:rsidRPr="001C21DC">
        <w:rPr>
          <w:color w:val="000000"/>
          <w:lang w:val="en-GB"/>
        </w:rPr>
        <w:t xml:space="preserve"> </w:t>
      </w:r>
      <w:r w:rsidRPr="001C21DC">
        <w:rPr>
          <w:bCs/>
          <w:color w:val="000000"/>
          <w:lang w:val="en-GB"/>
        </w:rPr>
        <w:t>Communication No. 1640/2007</w:t>
      </w:r>
      <w:r w:rsidRPr="001C21DC">
        <w:rPr>
          <w:color w:val="000000"/>
          <w:lang w:val="en-GB"/>
        </w:rPr>
        <w:t xml:space="preserve">, views of 26 July 2010, § 7.5, </w:t>
      </w:r>
      <w:r w:rsidRPr="001C21DC">
        <w:rPr>
          <w:bCs/>
          <w:color w:val="000000"/>
          <w:lang w:val="en-GB"/>
        </w:rPr>
        <w:t>CCPR/C/99/D/1640/2007</w:t>
      </w:r>
      <w:r w:rsidRPr="001C21DC">
        <w:rPr>
          <w:color w:val="000000"/>
          <w:lang w:val="en-GB"/>
        </w:rPr>
        <w:t>), spouses (</w:t>
      </w:r>
      <w:r w:rsidRPr="001C21DC">
        <w:rPr>
          <w:i/>
          <w:color w:val="000000"/>
          <w:lang w:val="en-GB"/>
        </w:rPr>
        <w:t>Bousroual v. Algeria</w:t>
      </w:r>
      <w:r w:rsidRPr="001C21DC">
        <w:rPr>
          <w:color w:val="000000"/>
          <w:lang w:val="en-GB"/>
        </w:rPr>
        <w:t xml:space="preserve">, </w:t>
      </w:r>
      <w:r w:rsidRPr="001C21DC">
        <w:rPr>
          <w:bCs/>
          <w:color w:val="000000"/>
          <w:lang w:val="en-GB"/>
        </w:rPr>
        <w:t>Communication No. 992/2001, views of</w:t>
      </w:r>
      <w:r w:rsidRPr="001C21DC">
        <w:rPr>
          <w:color w:val="000000"/>
          <w:lang w:val="en-GB"/>
        </w:rPr>
        <w:t xml:space="preserve"> 30 March 2006, § 9.8, CCPR/C/86/D/992/2001), aunts and uncles (</w:t>
      </w:r>
      <w:r w:rsidRPr="001C21DC">
        <w:rPr>
          <w:i/>
          <w:lang w:val="en-GB"/>
        </w:rPr>
        <w:t>Benaniza v Algeria,</w:t>
      </w:r>
      <w:r w:rsidRPr="001C21DC">
        <w:rPr>
          <w:lang w:val="en-GB"/>
        </w:rPr>
        <w:t xml:space="preserve"> views of 26 July 2010, § 9.4, CCPR/C/99/D/1588/2007)</w:t>
      </w:r>
      <w:r w:rsidRPr="001C21DC">
        <w:rPr>
          <w:color w:val="000000"/>
          <w:lang w:val="en-GB"/>
        </w:rPr>
        <w:t xml:space="preserve"> (</w:t>
      </w:r>
      <w:r w:rsidRPr="001C21DC">
        <w:rPr>
          <w:i/>
          <w:lang w:val="en-GB"/>
        </w:rPr>
        <w:t>Bashasha</w:t>
      </w:r>
      <w:r w:rsidRPr="001C21DC">
        <w:rPr>
          <w:i/>
          <w:color w:val="000000"/>
          <w:lang w:val="en-GB"/>
        </w:rPr>
        <w:t xml:space="preserve"> v. Libyan Arab Jamahiriya</w:t>
      </w:r>
      <w:r w:rsidRPr="001C21DC">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1C21DC">
        <w:rPr>
          <w:i/>
          <w:color w:val="000000"/>
          <w:lang w:val="en-GB"/>
        </w:rPr>
        <w:t>Aboussedra v. Libyan Arab Jamahiriya</w:t>
      </w:r>
      <w:r w:rsidRPr="001C21DC">
        <w:rPr>
          <w:color w:val="000000"/>
          <w:lang w:val="en-GB"/>
        </w:rPr>
        <w:t xml:space="preserve">, </w:t>
      </w:r>
      <w:r w:rsidRPr="001C21DC">
        <w:rPr>
          <w:bCs/>
          <w:color w:val="000000"/>
          <w:lang w:val="en-GB"/>
        </w:rPr>
        <w:t>Communication No. 1751/2008,</w:t>
      </w:r>
      <w:r w:rsidRPr="001C21DC">
        <w:rPr>
          <w:color w:val="000000"/>
          <w:lang w:val="en-GB"/>
        </w:rPr>
        <w:t xml:space="preserve"> views of 25 October 2010, § 7.5, </w:t>
      </w:r>
      <w:r w:rsidRPr="001C21DC">
        <w:rPr>
          <w:bCs/>
          <w:color w:val="000000"/>
          <w:lang w:val="en-GB"/>
        </w:rPr>
        <w:t>CCPR/C/100/D/1751/2008</w:t>
      </w:r>
      <w:r w:rsidRPr="001C21DC">
        <w:rPr>
          <w:color w:val="000000"/>
          <w:lang w:val="en-GB"/>
        </w:rPr>
        <w:t xml:space="preserve">). In the </w:t>
      </w:r>
      <w:r w:rsidRPr="001C21DC">
        <w:rPr>
          <w:i/>
          <w:color w:val="000000"/>
          <w:lang w:val="en-GB"/>
        </w:rPr>
        <w:t>Amirov v. Russian Federation</w:t>
      </w:r>
      <w:r w:rsidRPr="001C21DC">
        <w:rPr>
          <w:color w:val="000000"/>
          <w:lang w:val="en-GB"/>
        </w:rPr>
        <w:t xml:space="preserve"> the Committee observed that “</w:t>
      </w:r>
      <w:r w:rsidRPr="001C21DC">
        <w:rPr>
          <w:lang w:val="en-GB"/>
        </w:rPr>
        <w:sym w:font="Symbol" w:char="F05B"/>
      </w:r>
      <w:r w:rsidRPr="001C21DC">
        <w:rPr>
          <w:color w:val="000000"/>
          <w:lang w:val="en-GB"/>
        </w:rPr>
        <w:t>w</w:t>
      </w:r>
      <w:r w:rsidRPr="001C21DC">
        <w:rPr>
          <w:lang w:val="en-GB"/>
        </w:rPr>
        <w:sym w:font="Symbol" w:char="F05D"/>
      </w:r>
      <w:r w:rsidRPr="001C21DC">
        <w:rPr>
          <w:color w:val="000000"/>
          <w:lang w:val="en-GB"/>
        </w:rPr>
        <w:t>ithout wishing to spell out all the circumstances of indirect victimisation, the Committee considers that the failure</w:t>
      </w:r>
      <w:r w:rsidRPr="001C21DC">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1C21DC">
        <w:rPr>
          <w:color w:val="000000"/>
          <w:lang w:val="en-GB"/>
        </w:rPr>
        <w:t xml:space="preserve">violated” </w:t>
      </w:r>
      <w:r w:rsidR="005F341C" w:rsidRPr="001C21DC">
        <w:rPr>
          <w:color w:val="000000"/>
        </w:rPr>
        <w:t xml:space="preserve">(HRC, </w:t>
      </w:r>
      <w:r w:rsidR="005F341C" w:rsidRPr="001C21DC">
        <w:rPr>
          <w:i/>
          <w:color w:val="000000"/>
        </w:rPr>
        <w:t>Abubakar Amirov and Aïzan Amirova v. Russian Federation</w:t>
      </w:r>
      <w:r w:rsidR="005F341C" w:rsidRPr="001C21DC">
        <w:rPr>
          <w:color w:val="000000"/>
        </w:rPr>
        <w:t xml:space="preserve">, cited in </w:t>
      </w:r>
      <w:r w:rsidR="00E5405A" w:rsidRPr="001C21DC">
        <w:rPr>
          <w:color w:val="000000"/>
          <w:lang w:val="en-GB"/>
        </w:rPr>
        <w:t xml:space="preserve">§ </w:t>
      </w:r>
      <w:r w:rsidR="00401775" w:rsidRPr="001C21DC">
        <w:rPr>
          <w:color w:val="000000"/>
          <w:lang w:val="en-GB"/>
        </w:rPr>
        <w:t>116</w:t>
      </w:r>
      <w:r w:rsidR="005F341C" w:rsidRPr="001C21DC">
        <w:rPr>
          <w:color w:val="000000"/>
          <w:lang w:val="en-GB"/>
        </w:rPr>
        <w:t xml:space="preserve"> above, § 11.7)</w:t>
      </w:r>
      <w:r w:rsidR="005F341C" w:rsidRPr="001C21DC">
        <w:rPr>
          <w:color w:val="000000"/>
        </w:rPr>
        <w:t>.</w:t>
      </w:r>
      <w:bookmarkEnd w:id="45"/>
    </w:p>
    <w:p w:rsidR="00113CF2" w:rsidRPr="001C21DC" w:rsidRDefault="00113CF2" w:rsidP="00113CF2">
      <w:pPr>
        <w:tabs>
          <w:tab w:val="left" w:pos="709"/>
        </w:tabs>
        <w:suppressAutoHyphens/>
        <w:autoSpaceDE w:val="0"/>
        <w:ind w:left="450"/>
        <w:jc w:val="both"/>
        <w:rPr>
          <w:lang w:val="en-GB"/>
        </w:rPr>
      </w:pPr>
    </w:p>
    <w:p w:rsidR="00113CF2" w:rsidRPr="001C21DC" w:rsidRDefault="008A384F"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1C21DC">
        <w:rPr>
          <w:i/>
          <w:lang w:val="en-GB"/>
        </w:rPr>
        <w:t>Açiș v.Turkey</w:t>
      </w:r>
      <w:r w:rsidRPr="001C21DC">
        <w:rPr>
          <w:lang w:val="en-GB"/>
        </w:rPr>
        <w:t>, no. 7050/05, judgment of 1 February 2011, § 45).</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In this respect, it is the position of the European Court that findings under the procedural limb of Article 2 would also be of direct relevance in considering the existence of a violation of Article 3 (see ECtHR, </w:t>
      </w:r>
      <w:r w:rsidRPr="001C21DC">
        <w:rPr>
          <w:i/>
          <w:lang w:val="en-GB"/>
        </w:rPr>
        <w:t>Basayeva and Others v. Russia</w:t>
      </w:r>
      <w:r w:rsidRPr="001C21DC">
        <w:rPr>
          <w:lang w:val="en-GB"/>
        </w:rPr>
        <w:t xml:space="preserve">, </w:t>
      </w:r>
      <w:r w:rsidR="00A10228" w:rsidRPr="001C21DC">
        <w:rPr>
          <w:lang w:val="en-GB"/>
        </w:rPr>
        <w:t xml:space="preserve">cited in § </w:t>
      </w:r>
      <w:r w:rsidR="00401775" w:rsidRPr="001C21DC">
        <w:t>152</w:t>
      </w:r>
      <w:r w:rsidR="00A10228" w:rsidRPr="001C21DC">
        <w:rPr>
          <w:lang w:val="en-GB"/>
        </w:rPr>
        <w:t xml:space="preserve"> above</w:t>
      </w:r>
      <w:r w:rsidRPr="001C21DC">
        <w:rPr>
          <w:lang w:val="en-GB"/>
        </w:rPr>
        <w:t xml:space="preserve">, § 109; ECtHR, </w:t>
      </w:r>
      <w:r w:rsidRPr="001C21DC">
        <w:rPr>
          <w:i/>
          <w:lang w:val="en-GB"/>
        </w:rPr>
        <w:t>Gelayevy v. Russia</w:t>
      </w:r>
      <w:r w:rsidRPr="001C21DC">
        <w:rPr>
          <w:lang w:val="en-GB"/>
        </w:rPr>
        <w:t xml:space="preserve">, no. 20216/07, </w:t>
      </w:r>
      <w:r w:rsidR="009B789A" w:rsidRPr="001C21DC">
        <w:rPr>
          <w:lang w:val="en-GB"/>
        </w:rPr>
        <w:t xml:space="preserve">cited in § </w:t>
      </w:r>
      <w:r w:rsidR="005A35A3">
        <w:fldChar w:fldCharType="begin"/>
      </w:r>
      <w:r w:rsidR="005A35A3">
        <w:instrText xml:space="preserve"> REF _Ref366241358 \r \h  \* MERGEFORMAT </w:instrText>
      </w:r>
      <w:r w:rsidR="005A35A3">
        <w:fldChar w:fldCharType="separate"/>
      </w:r>
      <w:r w:rsidR="00D0695D" w:rsidRPr="00D0695D">
        <w:rPr>
          <w:lang w:val="en-GB"/>
        </w:rPr>
        <w:t>143</w:t>
      </w:r>
      <w:r w:rsidR="005A35A3">
        <w:fldChar w:fldCharType="end"/>
      </w:r>
      <w:r w:rsidR="009B789A" w:rsidRPr="001C21DC">
        <w:rPr>
          <w:lang w:val="en-GB"/>
        </w:rPr>
        <w:t xml:space="preserve"> above</w:t>
      </w:r>
      <w:r w:rsidRPr="001C21DC">
        <w:rPr>
          <w:lang w:val="en-GB"/>
        </w:rPr>
        <w:t xml:space="preserve">, </w:t>
      </w:r>
      <w:r w:rsidR="009B789A" w:rsidRPr="001C21DC">
        <w:rPr>
          <w:lang w:val="en-GB"/>
        </w:rPr>
        <w:t xml:space="preserve">at </w:t>
      </w:r>
      <w:r w:rsidRPr="001C21DC">
        <w:rPr>
          <w:lang w:val="en-GB"/>
        </w:rPr>
        <w:t xml:space="preserve">§ 147; ECtHR, </w:t>
      </w:r>
      <w:r w:rsidRPr="001C21DC">
        <w:rPr>
          <w:i/>
          <w:lang w:val="en-GB"/>
        </w:rPr>
        <w:t>Bazorkina v. Russia</w:t>
      </w:r>
      <w:r w:rsidRPr="001C21DC">
        <w:rPr>
          <w:lang w:val="en-GB"/>
        </w:rPr>
        <w:t>, cited in §</w:t>
      </w:r>
      <w:r w:rsidR="009B789A" w:rsidRPr="001C21DC">
        <w:rPr>
          <w:lang w:val="en-GB"/>
        </w:rPr>
        <w:t xml:space="preserve"> </w:t>
      </w:r>
      <w:r w:rsidR="00401775" w:rsidRPr="001C21DC">
        <w:t>115</w:t>
      </w:r>
      <w:r w:rsidRPr="001C21DC">
        <w:rPr>
          <w:lang w:val="en-GB"/>
        </w:rPr>
        <w:t xml:space="preserve"> above, at § 140).</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observes that the European Court has already found violations of Article 3 of the ECHR in relation to disappearances in which the State itself was found to be responsible for the abduction (see ECtHR, </w:t>
      </w:r>
      <w:r w:rsidRPr="001C21DC">
        <w:rPr>
          <w:i/>
          <w:lang w:val="en-GB"/>
        </w:rPr>
        <w:t>Luluyev and Others v. Russia</w:t>
      </w:r>
      <w:r w:rsidRPr="001C21DC">
        <w:rPr>
          <w:lang w:val="en-GB"/>
        </w:rPr>
        <w:t xml:space="preserve">, no. 69480/01, judgment of 9 November 2006, §§ 117-118; ECtHR, </w:t>
      </w:r>
      <w:r w:rsidRPr="001C21DC">
        <w:rPr>
          <w:i/>
          <w:lang w:val="en-GB"/>
        </w:rPr>
        <w:t>Kukayev v. Russia</w:t>
      </w:r>
      <w:r w:rsidRPr="001C21DC">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C21DC">
        <w:rPr>
          <w:rStyle w:val="sb8d990e2"/>
          <w:lang w:val="en-GB"/>
        </w:rPr>
        <w:t>could have in itself</w:t>
      </w:r>
      <w:r w:rsidRPr="001C21DC">
        <w:rPr>
          <w:b/>
          <w:lang w:val="en-GB"/>
        </w:rPr>
        <w:t xml:space="preserve"> </w:t>
      </w:r>
      <w:r w:rsidRPr="001C21DC">
        <w:rPr>
          <w:lang w:val="en-GB"/>
        </w:rPr>
        <w:t xml:space="preserve"> caused the applicant mental distress in excess of the minimum level of severity, which is necessary in order to consider treatment as falling within the scope of Article 3 (see, among others, ECtHR, </w:t>
      </w:r>
      <w:r w:rsidRPr="001C21DC">
        <w:rPr>
          <w:i/>
          <w:lang w:val="en-GB"/>
        </w:rPr>
        <w:t>Tovsultanova v. Russia</w:t>
      </w:r>
      <w:r w:rsidRPr="001C21DC">
        <w:rPr>
          <w:lang w:val="en-GB"/>
        </w:rPr>
        <w:t xml:space="preserve">, no. 26974/06, judgment of 17 June 2010, § 104; ECtHR, </w:t>
      </w:r>
      <w:r w:rsidRPr="001C21DC">
        <w:rPr>
          <w:i/>
          <w:lang w:val="en-GB"/>
        </w:rPr>
        <w:t>Shafiyeva v. Russia</w:t>
      </w:r>
      <w:r w:rsidRPr="001C21DC">
        <w:rPr>
          <w:lang w:val="en-GB"/>
        </w:rPr>
        <w:t>, no. 49379/09, judgment of 3 May 2012, § 103).</w:t>
      </w:r>
    </w:p>
    <w:p w:rsidR="00113CF2" w:rsidRPr="001C21DC" w:rsidRDefault="00113CF2" w:rsidP="00113CF2">
      <w:pPr>
        <w:pStyle w:val="ListParagraph"/>
        <w:rPr>
          <w:lang w:val="en-GB"/>
        </w:rPr>
      </w:pPr>
    </w:p>
    <w:p w:rsidR="00113CF2" w:rsidRPr="001C21DC" w:rsidRDefault="00113CF2" w:rsidP="003D4ADE">
      <w:pPr>
        <w:pStyle w:val="ListParagraph1"/>
        <w:numPr>
          <w:ilvl w:val="0"/>
          <w:numId w:val="9"/>
        </w:numPr>
        <w:tabs>
          <w:tab w:val="num" w:pos="284"/>
        </w:tabs>
        <w:ind w:left="284" w:hanging="284"/>
        <w:jc w:val="both"/>
        <w:rPr>
          <w:i/>
          <w:color w:val="000000"/>
          <w:lang w:eastAsia="en-US"/>
        </w:rPr>
      </w:pPr>
      <w:r w:rsidRPr="001C21DC">
        <w:rPr>
          <w:i/>
          <w:color w:val="000000"/>
          <w:lang w:eastAsia="en-US"/>
        </w:rPr>
        <w:t>Applicability of Article 3 to the Kosovo context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regard to the applicability of the above standards to the Kosovo context, the Panel first refers to its view on the same issue with regard to Article 2, developed above (see §§ </w:t>
      </w:r>
      <w:r w:rsidR="005A35A3">
        <w:fldChar w:fldCharType="begin"/>
      </w:r>
      <w:r w:rsidR="005A35A3">
        <w:instrText xml:space="preserve"> REF _Ref366163783 \r \h  \* MERGEFORMAT </w:instrText>
      </w:r>
      <w:r w:rsidR="005A35A3">
        <w:fldChar w:fldCharType="separate"/>
      </w:r>
      <w:r w:rsidR="00D0695D" w:rsidRPr="00D0695D">
        <w:rPr>
          <w:lang w:val="en-GB"/>
        </w:rPr>
        <w:t>109</w:t>
      </w:r>
      <w:r w:rsidR="005A35A3">
        <w:fldChar w:fldCharType="end"/>
      </w:r>
      <w:r w:rsidR="00E44394" w:rsidRPr="001C21DC">
        <w:rPr>
          <w:lang w:val="en-GB"/>
        </w:rPr>
        <w:t xml:space="preserve"> - </w:t>
      </w:r>
      <w:r w:rsidR="005A35A3">
        <w:fldChar w:fldCharType="begin"/>
      </w:r>
      <w:r w:rsidR="005A35A3">
        <w:instrText xml:space="preserve"> REF _Ref366163789 \r \h  \* MERGEFORMAT </w:instrText>
      </w:r>
      <w:r w:rsidR="005A35A3">
        <w:fldChar w:fldCharType="separate"/>
      </w:r>
      <w:r w:rsidR="00D0695D" w:rsidRPr="00D0695D">
        <w:rPr>
          <w:lang w:val="en-GB"/>
        </w:rPr>
        <w:t>117</w:t>
      </w:r>
      <w:r w:rsidR="005A35A3">
        <w:fldChar w:fldCharType="end"/>
      </w:r>
      <w:r w:rsidRPr="001C21DC">
        <w:rPr>
          <w:lang w:val="en-GB"/>
        </w:rPr>
        <w:t>).</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401775" w:rsidRPr="001C21DC">
        <w:t>25</w:t>
      </w:r>
      <w:r w:rsidRPr="001C21DC">
        <w:rPr>
          <w:lang w:val="en-GB"/>
        </w:rPr>
        <w:t xml:space="preserve"> above).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again notes that it will not review relevant practices or alleged obstacles to the conduct of effective investigations </w:t>
      </w:r>
      <w:r w:rsidRPr="001C21DC">
        <w:rPr>
          <w:i/>
          <w:lang w:val="en-GB"/>
        </w:rPr>
        <w:t>in abstracto</w:t>
      </w:r>
      <w:r w:rsidRPr="001C21DC">
        <w:rPr>
          <w:lang w:val="en-GB"/>
        </w:rPr>
        <w:t>, but only in relation to their specific application to the complaint before it, considering the particular circumstances of the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113CF2" w:rsidRPr="001C21DC" w:rsidRDefault="00113CF2" w:rsidP="00113CF2">
      <w:pPr>
        <w:rPr>
          <w:i/>
          <w:color w:val="000000"/>
          <w:lang w:val="en-GB"/>
        </w:rPr>
      </w:pPr>
    </w:p>
    <w:p w:rsidR="00113CF2" w:rsidRPr="001C21DC" w:rsidRDefault="00113CF2" w:rsidP="003D4ADE">
      <w:pPr>
        <w:pStyle w:val="ListParagraph1"/>
        <w:numPr>
          <w:ilvl w:val="0"/>
          <w:numId w:val="9"/>
        </w:numPr>
        <w:tabs>
          <w:tab w:val="num" w:pos="284"/>
        </w:tabs>
        <w:ind w:left="284" w:hanging="284"/>
        <w:jc w:val="both"/>
      </w:pPr>
      <w:r w:rsidRPr="001C21DC">
        <w:rPr>
          <w:i/>
          <w:color w:val="000000"/>
          <w:lang w:eastAsia="en-US"/>
        </w:rPr>
        <w:t>Compliance</w:t>
      </w:r>
      <w:r w:rsidRPr="001C21DC">
        <w:rPr>
          <w:i/>
          <w:color w:val="000000"/>
        </w:rPr>
        <w:t xml:space="preserve"> with Article 3 in the present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Against this background, the Panel discerns a number of factors in the present case which, taken together, raise the question of violation of Article 3 of the ECHR.</w:t>
      </w:r>
    </w:p>
    <w:p w:rsidR="00113CF2" w:rsidRPr="001C21DC" w:rsidRDefault="00113CF2" w:rsidP="00113CF2">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the proximity of the family ties between the complainants and the mi</w:t>
      </w:r>
      <w:r w:rsidR="007F3811" w:rsidRPr="001C21DC">
        <w:rPr>
          <w:lang w:val="en-GB"/>
        </w:rPr>
        <w:t>ssing persons, as they are their father and spouse respectively</w:t>
      </w:r>
      <w:r w:rsidRPr="001C21DC">
        <w:rPr>
          <w:lang w:val="en-GB"/>
        </w:rPr>
        <w:t>. Accordingly, the Panel has no doubt that they indeed suffered serious emotional distress since the abductions, which took place in June 1999.</w:t>
      </w:r>
    </w:p>
    <w:p w:rsidR="007F3811" w:rsidRPr="001C21DC" w:rsidRDefault="007F3811" w:rsidP="007F3811">
      <w:pPr>
        <w:pStyle w:val="ListParagrap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likewise notes that </w:t>
      </w:r>
      <w:r w:rsidR="009B789A" w:rsidRPr="001C21DC">
        <w:rPr>
          <w:lang w:val="en-GB"/>
        </w:rPr>
        <w:t xml:space="preserve">the </w:t>
      </w:r>
      <w:r w:rsidR="00897F94" w:rsidRPr="001C21DC">
        <w:rPr>
          <w:lang w:val="en-GB"/>
        </w:rPr>
        <w:t>complainants and their families</w:t>
      </w:r>
      <w:r w:rsidR="009B789A" w:rsidRPr="001C21DC">
        <w:rPr>
          <w:lang w:val="en-GB"/>
        </w:rPr>
        <w:t xml:space="preserve"> </w:t>
      </w:r>
      <w:r w:rsidRPr="001C21DC">
        <w:rPr>
          <w:lang w:val="en-GB"/>
        </w:rPr>
        <w:t>applied to var</w:t>
      </w:r>
      <w:r w:rsidR="00897F94" w:rsidRPr="001C21DC">
        <w:rPr>
          <w:lang w:val="en-GB"/>
        </w:rPr>
        <w:t>ious bodies</w:t>
      </w:r>
      <w:r w:rsidRPr="001C21DC">
        <w:rPr>
          <w:lang w:val="en-GB"/>
        </w:rPr>
        <w:t xml:space="preserve"> with enquiries</w:t>
      </w:r>
      <w:r w:rsidR="009B789A" w:rsidRPr="001C21DC">
        <w:rPr>
          <w:lang w:val="en-GB"/>
        </w:rPr>
        <w:t xml:space="preserve"> (see §</w:t>
      </w:r>
      <w:r w:rsidR="00E5405A" w:rsidRPr="001C21DC">
        <w:rPr>
          <w:lang w:val="en-GB"/>
        </w:rPr>
        <w:t xml:space="preserve">§ </w:t>
      </w:r>
      <w:r w:rsidR="005A35A3">
        <w:fldChar w:fldCharType="begin"/>
      </w:r>
      <w:r w:rsidR="005A35A3">
        <w:instrText xml:space="preserve"> REF _Ref391030110 \r \h  \* MERGEFORMAT </w:instrText>
      </w:r>
      <w:r w:rsidR="005A35A3">
        <w:fldChar w:fldCharType="separate"/>
      </w:r>
      <w:r w:rsidR="00D0695D" w:rsidRPr="00D0695D">
        <w:rPr>
          <w:lang w:val="en-GB"/>
        </w:rPr>
        <w:t>31</w:t>
      </w:r>
      <w:r w:rsidR="005A35A3">
        <w:fldChar w:fldCharType="end"/>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00E5405A" w:rsidRPr="001C21DC">
        <w:rPr>
          <w:lang w:val="en-GB"/>
        </w:rPr>
        <w:t xml:space="preserve"> </w:t>
      </w:r>
      <w:r w:rsidR="009B789A" w:rsidRPr="001C21DC">
        <w:rPr>
          <w:lang w:val="en-GB"/>
        </w:rPr>
        <w:t>above)</w:t>
      </w:r>
      <w:r w:rsidRPr="001C21DC">
        <w:rPr>
          <w:lang w:val="en-GB"/>
        </w:rPr>
        <w:t xml:space="preserve">, but despite their attempts, they have never received any explanation or information as to what became of their </w:t>
      </w:r>
      <w:r w:rsidR="00897F94" w:rsidRPr="001C21DC">
        <w:rPr>
          <w:lang w:val="en-GB"/>
        </w:rPr>
        <w:t xml:space="preserve">family members </w:t>
      </w:r>
      <w:r w:rsidRPr="001C21DC">
        <w:rPr>
          <w:lang w:val="en-GB"/>
        </w:rPr>
        <w:t>following their abduction.</w:t>
      </w:r>
    </w:p>
    <w:p w:rsidR="007F3811" w:rsidRPr="001C21DC" w:rsidRDefault="007F3811" w:rsidP="007F3811">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t>
      </w:r>
      <w:r w:rsidR="00AF6A32" w:rsidRPr="001C21DC">
        <w:rPr>
          <w:lang w:val="en-GB"/>
        </w:rPr>
        <w:t>can</w:t>
      </w:r>
      <w:r w:rsidR="00C90FAD" w:rsidRPr="001C21DC">
        <w:rPr>
          <w:lang w:val="en-GB"/>
        </w:rPr>
        <w:t>not overlook the period of almost complete inaction of the au</w:t>
      </w:r>
      <w:r w:rsidR="004D4D50" w:rsidRPr="001C21DC">
        <w:rPr>
          <w:lang w:val="en-GB"/>
        </w:rPr>
        <w:t>thorities, between 1999 and 2004</w:t>
      </w:r>
      <w:r w:rsidR="00C90FAD" w:rsidRPr="001C21DC">
        <w:rPr>
          <w:lang w:val="en-GB"/>
        </w:rPr>
        <w:t xml:space="preserve">, despite the fact that they had </w:t>
      </w:r>
      <w:r w:rsidR="004D4D50" w:rsidRPr="001C21DC">
        <w:rPr>
          <w:lang w:val="en-GB"/>
        </w:rPr>
        <w:t xml:space="preserve">been provided since the beginning of the investigation with relevant leads. </w:t>
      </w:r>
      <w:r w:rsidRPr="001C21DC">
        <w:rPr>
          <w:lang w:val="en-GB"/>
        </w:rPr>
        <w:t>In this respect, the Panel reiterates that from the standpoint of Article 3 it may examine UNMIK’s reactions and attitudes to the complainants in its entirety.</w:t>
      </w:r>
    </w:p>
    <w:p w:rsidR="00026A70" w:rsidRPr="001C21DC" w:rsidRDefault="00026A70" w:rsidP="00026A70">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Th</w:t>
      </w:r>
      <w:r w:rsidR="00C90FAD" w:rsidRPr="001C21DC">
        <w:rPr>
          <w:lang w:val="en-GB"/>
        </w:rPr>
        <w:t xml:space="preserve">e Panel </w:t>
      </w:r>
      <w:r w:rsidR="008978E2" w:rsidRPr="001C21DC">
        <w:rPr>
          <w:lang w:val="en-GB"/>
        </w:rPr>
        <w:t>recalls</w:t>
      </w:r>
      <w:r w:rsidRPr="001C21DC">
        <w:rPr>
          <w:lang w:val="en-GB"/>
        </w:rPr>
        <w:t xml:space="preserve"> </w:t>
      </w:r>
      <w:r w:rsidR="004D4D50" w:rsidRPr="001C21DC">
        <w:rPr>
          <w:lang w:val="en-GB"/>
        </w:rPr>
        <w:t xml:space="preserve">that the two only </w:t>
      </w:r>
      <w:r w:rsidR="008E057A" w:rsidRPr="001C21DC">
        <w:rPr>
          <w:lang w:val="en-GB"/>
        </w:rPr>
        <w:t>recorded contact</w:t>
      </w:r>
      <w:r w:rsidR="004D4D50" w:rsidRPr="001C21DC">
        <w:rPr>
          <w:lang w:val="en-GB"/>
        </w:rPr>
        <w:t xml:space="preserve">s between UNMIK investigators and the complainants or their families are </w:t>
      </w:r>
      <w:r w:rsidR="00026A70" w:rsidRPr="001C21DC">
        <w:rPr>
          <w:lang w:val="en-GB"/>
        </w:rPr>
        <w:t>UNMIK</w:t>
      </w:r>
      <w:r w:rsidR="008E057A" w:rsidRPr="001C21DC">
        <w:rPr>
          <w:lang w:val="en-GB"/>
        </w:rPr>
        <w:t xml:space="preserve"> investigators </w:t>
      </w:r>
      <w:r w:rsidR="00026A70" w:rsidRPr="001C21DC">
        <w:rPr>
          <w:lang w:val="en-GB"/>
        </w:rPr>
        <w:t xml:space="preserve"> is a contact of </w:t>
      </w:r>
      <w:r w:rsidR="00F303B9" w:rsidRPr="001C21DC">
        <w:rPr>
          <w:lang w:val="en-GB"/>
        </w:rPr>
        <w:t>the MPU with the daughter of M.Đ.</w:t>
      </w:r>
      <w:r w:rsidR="00026A70" w:rsidRPr="001C21DC">
        <w:rPr>
          <w:lang w:val="en-GB"/>
        </w:rPr>
        <w:t xml:space="preserve"> in November 2000, for the purpose of gathering ante-mortem information and </w:t>
      </w:r>
      <w:r w:rsidR="00F303B9" w:rsidRPr="001C21DC">
        <w:rPr>
          <w:lang w:val="en-GB"/>
        </w:rPr>
        <w:t xml:space="preserve">another for </w:t>
      </w:r>
      <w:r w:rsidR="00026A70" w:rsidRPr="001C21DC">
        <w:rPr>
          <w:lang w:val="en-GB"/>
        </w:rPr>
        <w:t>the h</w:t>
      </w:r>
      <w:r w:rsidR="00F303B9" w:rsidRPr="001C21DC">
        <w:rPr>
          <w:lang w:val="en-GB"/>
        </w:rPr>
        <w:t xml:space="preserve">andover of mortal remains of </w:t>
      </w:r>
      <w:r w:rsidR="00026A70" w:rsidRPr="001C21DC">
        <w:rPr>
          <w:lang w:val="en-GB"/>
        </w:rPr>
        <w:t xml:space="preserve">D.S. in November 2004 (see </w:t>
      </w:r>
      <w:r w:rsidR="005A35A3">
        <w:fldChar w:fldCharType="begin"/>
      </w:r>
      <w:r w:rsidR="005A35A3">
        <w:instrText xml:space="preserve"> REF _Ref390954179 \r \h  \* MERGEFORMAT </w:instrText>
      </w:r>
      <w:r w:rsidR="005A35A3">
        <w:fldChar w:fldCharType="separate"/>
      </w:r>
      <w:r w:rsidR="00D0695D" w:rsidRPr="00D0695D">
        <w:rPr>
          <w:lang w:val="en-GB"/>
        </w:rPr>
        <w:t>38</w:t>
      </w:r>
      <w:r w:rsidR="005A35A3">
        <w:fldChar w:fldCharType="end"/>
      </w:r>
      <w:r w:rsidR="00026A70" w:rsidRPr="001C21DC">
        <w:rPr>
          <w:lang w:val="en-GB"/>
        </w:rPr>
        <w:t xml:space="preserve"> above). It appears that no witness statement was ever taken from the complainants and other family members throughout the investigation and there is no evidence in the file that they were contacted in order to receive updates on the progress of the investigation. </w:t>
      </w:r>
    </w:p>
    <w:p w:rsidR="00CE737C" w:rsidRPr="001C21DC" w:rsidRDefault="00CE737C" w:rsidP="00CE737C">
      <w:pPr>
        <w:tabs>
          <w:tab w:val="left" w:pos="709"/>
        </w:tabs>
        <w:suppressAutoHyphens/>
        <w:autoSpaceDE w:val="0"/>
        <w:ind w:left="450"/>
        <w:jc w:val="both"/>
        <w:rPr>
          <w:lang w:val="en-GB"/>
        </w:rPr>
      </w:pPr>
    </w:p>
    <w:p w:rsidR="005663F3" w:rsidRPr="001C21DC" w:rsidRDefault="00C90FAD" w:rsidP="005663F3">
      <w:pPr>
        <w:numPr>
          <w:ilvl w:val="0"/>
          <w:numId w:val="2"/>
        </w:numPr>
        <w:tabs>
          <w:tab w:val="clear" w:pos="360"/>
          <w:tab w:val="left" w:pos="709"/>
        </w:tabs>
        <w:suppressAutoHyphens/>
        <w:autoSpaceDE w:val="0"/>
        <w:ind w:left="450" w:hanging="450"/>
        <w:jc w:val="both"/>
        <w:rPr>
          <w:lang w:val="en-GB"/>
        </w:rPr>
      </w:pPr>
      <w:r w:rsidRPr="001C21DC">
        <w:rPr>
          <w:lang w:val="en-GB"/>
        </w:rPr>
        <w:t xml:space="preserve">Drawing inferences from UNMIK’s failure to provide </w:t>
      </w:r>
      <w:r w:rsidR="00AF6A32" w:rsidRPr="001C21DC">
        <w:rPr>
          <w:lang w:val="en-GB"/>
        </w:rPr>
        <w:t xml:space="preserve">any </w:t>
      </w:r>
      <w:r w:rsidRPr="001C21DC">
        <w:rPr>
          <w:lang w:val="en-GB"/>
        </w:rPr>
        <w:t xml:space="preserve">plausible explanation for the absence of </w:t>
      </w:r>
      <w:r w:rsidR="00AF6A32" w:rsidRPr="001C21DC">
        <w:rPr>
          <w:lang w:val="en-GB"/>
        </w:rPr>
        <w:t xml:space="preserve">any </w:t>
      </w:r>
      <w:r w:rsidRPr="001C21DC">
        <w:rPr>
          <w:lang w:val="en-GB"/>
        </w:rPr>
        <w:t>sustained a</w:t>
      </w:r>
      <w:r w:rsidR="00AF6A32" w:rsidRPr="001C21DC">
        <w:rPr>
          <w:lang w:val="en-GB"/>
        </w:rPr>
        <w:t>nd</w:t>
      </w:r>
      <w:r w:rsidRPr="001C21DC">
        <w:rPr>
          <w:lang w:val="en-GB"/>
        </w:rPr>
        <w:t xml:space="preserve"> regular contact with the complainants</w:t>
      </w:r>
      <w:r w:rsidR="00E5405A" w:rsidRPr="001C21DC">
        <w:rPr>
          <w:lang w:val="en-GB"/>
        </w:rPr>
        <w:t xml:space="preserve"> and their families</w:t>
      </w:r>
      <w:r w:rsidRPr="001C21DC">
        <w:rPr>
          <w:lang w:val="en-GB"/>
        </w:rPr>
        <w:t xml:space="preserve">, or information about the reasons for </w:t>
      </w:r>
      <w:r w:rsidR="00AF6A32" w:rsidRPr="001C21DC">
        <w:rPr>
          <w:lang w:val="en-GB"/>
        </w:rPr>
        <w:t>the</w:t>
      </w:r>
      <w:r w:rsidRPr="001C21DC">
        <w:rPr>
          <w:lang w:val="en-GB"/>
        </w:rPr>
        <w:t xml:space="preserve"> prolonged inaction </w:t>
      </w:r>
      <w:r w:rsidR="00AF6A32" w:rsidRPr="001C21DC">
        <w:rPr>
          <w:lang w:val="en-GB"/>
        </w:rPr>
        <w:t>by</w:t>
      </w:r>
      <w:r w:rsidRPr="001C21DC">
        <w:rPr>
          <w:lang w:val="en-GB"/>
        </w:rPr>
        <w:t xml:space="preserve"> UNMIK Police with regard to the investigation into </w:t>
      </w:r>
      <w:r w:rsidR="00AF6A32" w:rsidRPr="001C21DC">
        <w:rPr>
          <w:lang w:val="en-GB"/>
        </w:rPr>
        <w:t xml:space="preserve">the </w:t>
      </w:r>
      <w:r w:rsidR="005663F3" w:rsidRPr="001C21DC">
        <w:rPr>
          <w:lang w:val="en-GB"/>
        </w:rPr>
        <w:t xml:space="preserve">abduction and probable </w:t>
      </w:r>
      <w:r w:rsidR="00F303B9" w:rsidRPr="001C21DC">
        <w:rPr>
          <w:lang w:val="en-GB"/>
        </w:rPr>
        <w:t>killing of M.V.</w:t>
      </w:r>
      <w:r w:rsidR="005663F3" w:rsidRPr="001C21DC">
        <w:rPr>
          <w:lang w:val="en-GB"/>
        </w:rPr>
        <w:t xml:space="preserve"> and the abduction</w:t>
      </w:r>
      <w:r w:rsidR="00F303B9" w:rsidRPr="001C21DC">
        <w:rPr>
          <w:lang w:val="en-GB"/>
        </w:rPr>
        <w:t xml:space="preserve"> and killing of M.Đ.</w:t>
      </w:r>
      <w:r w:rsidRPr="001C21DC">
        <w:rPr>
          <w:lang w:val="en-GB"/>
        </w:rPr>
        <w:t>, the Panel considers that this situation, which continued into the period of the Panel’s temporal jurisdiction</w:t>
      </w:r>
      <w:r w:rsidR="00AF6A32" w:rsidRPr="001C21DC">
        <w:rPr>
          <w:lang w:val="en-GB"/>
        </w:rPr>
        <w:t>,</w:t>
      </w:r>
      <w:r w:rsidRPr="001C21DC">
        <w:rPr>
          <w:lang w:val="en-GB"/>
        </w:rPr>
        <w:t xml:space="preserve"> caused grave uncertainty about their fate and the status of the investigation. </w:t>
      </w:r>
    </w:p>
    <w:p w:rsidR="005663F3" w:rsidRPr="001C21DC" w:rsidRDefault="005663F3" w:rsidP="005663F3">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In view of the above, the Panel concludes that </w:t>
      </w:r>
      <w:r w:rsidR="005663F3" w:rsidRPr="001C21DC">
        <w:rPr>
          <w:lang w:val="en-GB"/>
        </w:rPr>
        <w:t>L</w:t>
      </w:r>
      <w:r w:rsidR="00F303B9" w:rsidRPr="001C21DC">
        <w:rPr>
          <w:lang w:val="en-GB"/>
        </w:rPr>
        <w:t>.V. and M.Đ.</w:t>
      </w:r>
      <w:r w:rsidR="005663F3" w:rsidRPr="001C21DC">
        <w:rPr>
          <w:lang w:val="en-GB"/>
        </w:rPr>
        <w:t xml:space="preserve"> </w:t>
      </w:r>
      <w:r w:rsidRPr="001C21DC">
        <w:rPr>
          <w:lang w:val="en-GB"/>
        </w:rPr>
        <w:t>suffered severe distress for a prolonged and continuing period of time on account of the way the authorities of UNMIK have dealt with their complaints and as a result of their inability to find out</w:t>
      </w:r>
      <w:r w:rsidR="00260A16" w:rsidRPr="001C21DC">
        <w:rPr>
          <w:lang w:val="en-GB"/>
        </w:rPr>
        <w:t xml:space="preserve"> what happened to their family members</w:t>
      </w:r>
      <w:r w:rsidRPr="001C21DC">
        <w:rPr>
          <w:lang w:val="en-GB"/>
        </w:rPr>
        <w:t xml:space="preserve">. In this respect, it is obvious that, in any situation, their pain to </w:t>
      </w:r>
      <w:r w:rsidR="005663F3" w:rsidRPr="001C21DC">
        <w:rPr>
          <w:lang w:val="en-GB"/>
        </w:rPr>
        <w:t>live in uncertainty about the</w:t>
      </w:r>
      <w:r w:rsidR="00AF6A32" w:rsidRPr="001C21DC">
        <w:rPr>
          <w:lang w:val="en-GB"/>
        </w:rPr>
        <w:t xml:space="preserve"> </w:t>
      </w:r>
      <w:r w:rsidRPr="001C21DC">
        <w:rPr>
          <w:lang w:val="en-GB"/>
        </w:rPr>
        <w:t>fate</w:t>
      </w:r>
      <w:r w:rsidR="005663F3" w:rsidRPr="001C21DC">
        <w:rPr>
          <w:lang w:val="en-GB"/>
        </w:rPr>
        <w:t xml:space="preserve"> of their close family members</w:t>
      </w:r>
      <w:r w:rsidRPr="001C21DC">
        <w:rPr>
          <w:lang w:val="en-GB"/>
        </w:rPr>
        <w:t xml:space="preserve"> must be unbearable.</w:t>
      </w:r>
    </w:p>
    <w:p w:rsidR="007F3811" w:rsidRPr="001C21DC" w:rsidRDefault="007F3811" w:rsidP="007F3811">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For the aforementioned reasons, the Panel concludes that, by its behaviour, UNMIK contributed to the distress and mental suffering of </w:t>
      </w:r>
      <w:r w:rsidR="005663F3" w:rsidRPr="001C21DC">
        <w:rPr>
          <w:lang w:val="en-GB"/>
        </w:rPr>
        <w:t>L</w:t>
      </w:r>
      <w:r w:rsidR="00F303B9" w:rsidRPr="001C21DC">
        <w:rPr>
          <w:lang w:val="en-GB"/>
        </w:rPr>
        <w:t>.V. and M.Đ.</w:t>
      </w:r>
      <w:r w:rsidRPr="001C21DC">
        <w:rPr>
          <w:bCs/>
          <w:lang w:val="en-GB"/>
        </w:rPr>
        <w:t>,</w:t>
      </w:r>
      <w:r w:rsidRPr="001C21DC">
        <w:rPr>
          <w:lang w:val="en-GB"/>
        </w:rPr>
        <w:t xml:space="preserve"> in violation of Article 3 of the ECHR.</w:t>
      </w:r>
    </w:p>
    <w:p w:rsidR="007F3811" w:rsidRPr="001C21DC" w:rsidRDefault="007F3811" w:rsidP="007F3811">
      <w:pPr>
        <w:pStyle w:val="ListParagraph"/>
        <w:rPr>
          <w:lang w:val="en-GB" w:eastAsia="en-US"/>
        </w:rPr>
      </w:pPr>
    </w:p>
    <w:p w:rsidR="005663F3" w:rsidRPr="001C21DC" w:rsidRDefault="005663F3" w:rsidP="005663F3">
      <w:pPr>
        <w:rPr>
          <w:lang w:val="en-GB"/>
        </w:rPr>
      </w:pPr>
    </w:p>
    <w:p w:rsidR="007F3811" w:rsidRPr="001C21DC" w:rsidRDefault="007F3811" w:rsidP="007F3811">
      <w:pPr>
        <w:pStyle w:val="ListParagraph"/>
        <w:ind w:left="0"/>
        <w:rPr>
          <w:b/>
          <w:lang w:val="en-GB"/>
        </w:rPr>
      </w:pPr>
      <w:r w:rsidRPr="001C21DC">
        <w:rPr>
          <w:b/>
          <w:lang w:val="en-GB"/>
        </w:rPr>
        <w:t>V. CONCLUDING COMMENTS AND RECOMMENDATIONS</w:t>
      </w:r>
    </w:p>
    <w:p w:rsidR="007F3811" w:rsidRPr="001C21DC" w:rsidRDefault="007F3811" w:rsidP="007F3811">
      <w:pPr>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In light of the Panel’s findings in this case, the Panel is of the opinion that some form of reparation is necessary.</w:t>
      </w:r>
    </w:p>
    <w:p w:rsidR="007F3811" w:rsidRPr="001C21DC" w:rsidRDefault="007F3811" w:rsidP="007F3811">
      <w:pPr>
        <w:tabs>
          <w:tab w:val="left" w:pos="709"/>
        </w:tabs>
        <w:suppressAutoHyphens/>
        <w:autoSpaceDE w:val="0"/>
        <w:ind w:left="450"/>
        <w:jc w:val="both"/>
        <w:rPr>
          <w:lang w:val="en-GB"/>
        </w:rPr>
      </w:pPr>
    </w:p>
    <w:p w:rsidR="007F3811" w:rsidRPr="001C21DC" w:rsidRDefault="00C44BD1"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1C21DC">
        <w:rPr>
          <w:lang w:val="en-GB"/>
        </w:rPr>
        <w:t>s</w:t>
      </w:r>
      <w:r w:rsidRPr="001C21DC">
        <w:rPr>
          <w:lang w:val="en-GB"/>
        </w:rPr>
        <w:t xml:space="preserve"> and </w:t>
      </w:r>
      <w:r w:rsidR="00560510" w:rsidRPr="001C21DC">
        <w:rPr>
          <w:lang w:val="en-GB"/>
        </w:rPr>
        <w:t>their</w:t>
      </w:r>
      <w:r w:rsidR="00250C69" w:rsidRPr="001C21DC">
        <w:rPr>
          <w:lang w:val="en-GB"/>
        </w:rPr>
        <w:t xml:space="preserve"> </w:t>
      </w:r>
      <w:r w:rsidRPr="001C21DC">
        <w:rPr>
          <w:lang w:val="en-GB"/>
        </w:rPr>
        <w:t>next-of-kin, in particular the right to have the truth of the matter determined.</w:t>
      </w:r>
    </w:p>
    <w:p w:rsidR="007F3811" w:rsidRPr="001C21DC" w:rsidRDefault="007F3811" w:rsidP="007F3811">
      <w:pPr>
        <w:pStyle w:val="ListParagraph"/>
        <w:rPr>
          <w:bCs/>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bCs/>
          <w:lang w:val="en-GB"/>
        </w:rPr>
        <w:t xml:space="preserve">The </w:t>
      </w:r>
      <w:r w:rsidRPr="001C21DC">
        <w:rPr>
          <w:lang w:val="en-GB"/>
        </w:rPr>
        <w:t>Panel</w:t>
      </w:r>
      <w:r w:rsidRPr="001C21DC">
        <w:rPr>
          <w:bCs/>
          <w:lang w:val="en-GB"/>
        </w:rPr>
        <w:t xml:space="preserve"> notes the SRSG’s own concerns that the inadequate resources, especially at the outset of </w:t>
      </w:r>
      <w:r w:rsidRPr="001C21DC">
        <w:rPr>
          <w:lang w:val="en-GB"/>
        </w:rPr>
        <w:t>UNMIK’s</w:t>
      </w:r>
      <w:r w:rsidRPr="001C21DC">
        <w:rPr>
          <w:bCs/>
          <w:lang w:val="en-GB"/>
        </w:rPr>
        <w:t xml:space="preserve"> </w:t>
      </w:r>
      <w:r w:rsidRPr="001C21DC">
        <w:rPr>
          <w:lang w:val="en-GB"/>
        </w:rPr>
        <w:t>mission</w:t>
      </w:r>
      <w:r w:rsidRPr="001C21DC">
        <w:rPr>
          <w:bCs/>
          <w:lang w:val="en-GB"/>
        </w:rPr>
        <w:t>, made compliance with UNMIK’s human rights obligations difficult to achieve.</w:t>
      </w:r>
    </w:p>
    <w:p w:rsidR="007F3811" w:rsidRPr="001C21DC" w:rsidRDefault="007F3811" w:rsidP="007F3811">
      <w:pPr>
        <w:pStyle w:val="ListParagraph"/>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It would normally be for UNMIK to take the appropriate measures in order to put an end to the violation noted and to redress as far as possible the effects thereof. However, as the Panel noted above (see §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Pr="001C21DC">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7F3811" w:rsidRPr="001C21DC" w:rsidRDefault="007F3811" w:rsidP="007F3811">
      <w:pPr>
        <w:pStyle w:val="ListParagraph"/>
        <w:rPr>
          <w:lang w:val="en-GB"/>
        </w:rPr>
      </w:pPr>
    </w:p>
    <w:p w:rsidR="00F52A7B"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this factual situation does not relieve UNMIK from its obligation to redress as far as possible the effects of the violations for which it is responsible. </w:t>
      </w:r>
    </w:p>
    <w:p w:rsidR="00F52A7B" w:rsidRPr="001C21DC" w:rsidRDefault="00F52A7B" w:rsidP="00F0719F">
      <w:pPr>
        <w:rPr>
          <w:b/>
          <w:bCs/>
          <w:lang w:val="en-GB"/>
        </w:rPr>
      </w:pPr>
    </w:p>
    <w:p w:rsidR="00F52A7B" w:rsidRPr="001C21DC" w:rsidRDefault="00537784" w:rsidP="00560510">
      <w:pPr>
        <w:suppressAutoHyphens/>
        <w:autoSpaceDE w:val="0"/>
        <w:ind w:left="450"/>
        <w:jc w:val="both"/>
        <w:rPr>
          <w:b/>
          <w:bCs/>
          <w:lang w:val="en-GB"/>
        </w:rPr>
      </w:pPr>
      <w:r w:rsidRPr="001C21DC">
        <w:rPr>
          <w:b/>
          <w:bCs/>
          <w:lang w:val="en-GB"/>
        </w:rPr>
        <w:t>With respect to the complainant</w:t>
      </w:r>
      <w:r w:rsidR="003653FA" w:rsidRPr="001C21DC">
        <w:rPr>
          <w:b/>
          <w:bCs/>
          <w:lang w:val="en-GB"/>
        </w:rPr>
        <w:t>s</w:t>
      </w:r>
      <w:r w:rsidR="00F52A7B" w:rsidRPr="001C21DC">
        <w:rPr>
          <w:b/>
          <w:bCs/>
          <w:lang w:val="en-GB"/>
        </w:rPr>
        <w:t xml:space="preserve"> and the case the Panel considers appropriate that UNMIK:</w:t>
      </w:r>
    </w:p>
    <w:p w:rsidR="00F52A7B" w:rsidRPr="001C21DC" w:rsidRDefault="00F52A7B" w:rsidP="00F52A7B">
      <w:pPr>
        <w:pStyle w:val="ListParagraph"/>
        <w:rPr>
          <w:b/>
          <w:bCs/>
          <w:lang w:val="en-GB"/>
        </w:rPr>
      </w:pPr>
    </w:p>
    <w:p w:rsidR="00F52A7B" w:rsidRPr="001C21DC" w:rsidRDefault="00F52A7B" w:rsidP="003F48D3">
      <w:pPr>
        <w:numPr>
          <w:ilvl w:val="0"/>
          <w:numId w:val="10"/>
        </w:numPr>
        <w:tabs>
          <w:tab w:val="left" w:pos="900"/>
        </w:tabs>
        <w:suppressAutoHyphens/>
        <w:autoSpaceDE w:val="0"/>
        <w:ind w:left="720" w:firstLine="0"/>
        <w:jc w:val="both"/>
        <w:rPr>
          <w:b/>
          <w:bCs/>
          <w:lang w:val="en-GB"/>
        </w:rPr>
      </w:pPr>
      <w:r w:rsidRPr="001C21DC">
        <w:rPr>
          <w:lang w:val="en-GB"/>
        </w:rPr>
        <w:t xml:space="preserve">In line with the case law of the European Court of Human Rights on situations of limited State jurisdiction (see ECtHR </w:t>
      </w:r>
      <w:r w:rsidR="008A384F" w:rsidRPr="001C21DC">
        <w:rPr>
          <w:lang w:val="en-GB"/>
        </w:rPr>
        <w:t>[GC]</w:t>
      </w:r>
      <w:r w:rsidRPr="001C21DC">
        <w:rPr>
          <w:lang w:val="en-GB"/>
        </w:rPr>
        <w:t xml:space="preserve">, </w:t>
      </w:r>
      <w:r w:rsidRPr="001C21DC">
        <w:rPr>
          <w:i/>
          <w:lang w:val="en-GB"/>
        </w:rPr>
        <w:t>Ilaşcu and Others v. Moldova and Russia</w:t>
      </w:r>
      <w:r w:rsidRPr="001C21DC">
        <w:rPr>
          <w:lang w:val="en-GB"/>
        </w:rPr>
        <w:t xml:space="preserve">, no. 48787/99, judgment of 8 July 2004, </w:t>
      </w:r>
      <w:r w:rsidRPr="001C21DC">
        <w:rPr>
          <w:i/>
          <w:lang w:val="en-GB"/>
        </w:rPr>
        <w:t>ECHR</w:t>
      </w:r>
      <w:r w:rsidRPr="001C21DC">
        <w:rPr>
          <w:lang w:val="en-GB"/>
        </w:rPr>
        <w:t xml:space="preserve">, 2004-VII, § 333; ECtHR, </w:t>
      </w:r>
      <w:r w:rsidRPr="001C21DC">
        <w:rPr>
          <w:i/>
          <w:lang w:val="en-GB"/>
        </w:rPr>
        <w:t>Al-Saadoon and Mufdhi v. United Kingdom</w:t>
      </w:r>
      <w:r w:rsidRPr="001C21DC">
        <w:rPr>
          <w:lang w:val="en-GB"/>
        </w:rPr>
        <w:t xml:space="preserve">, no. 61498/08, judgment of 2 March 2010, § 171; ECtHR </w:t>
      </w:r>
      <w:r w:rsidR="008A384F" w:rsidRPr="001C21DC">
        <w:rPr>
          <w:lang w:val="en-GB"/>
        </w:rPr>
        <w:t xml:space="preserve">[GC], </w:t>
      </w:r>
      <w:r w:rsidRPr="001C21DC">
        <w:rPr>
          <w:lang w:val="en-GB"/>
        </w:rPr>
        <w:t xml:space="preserve"> </w:t>
      </w:r>
      <w:r w:rsidRPr="001C21DC">
        <w:rPr>
          <w:i/>
          <w:lang w:val="en-GB"/>
        </w:rPr>
        <w:t>Catan and Others v. Moldova and Russia</w:t>
      </w:r>
      <w:r w:rsidRPr="001C21DC">
        <w:rPr>
          <w:lang w:val="en-GB"/>
        </w:rPr>
        <w:t>, nos. 43370/04, 8252/05 and 18454/06, judgment of 19 October 2012, § 109), must end</w:t>
      </w:r>
      <w:r w:rsidR="0019795E" w:rsidRPr="001C21DC">
        <w:rPr>
          <w:lang w:val="en-GB"/>
        </w:rPr>
        <w:t xml:space="preserve">eavour, with all </w:t>
      </w:r>
      <w:r w:rsidRPr="001C21DC">
        <w:rPr>
          <w:lang w:val="en-GB"/>
        </w:rPr>
        <w:t xml:space="preserve">means available to it </w:t>
      </w:r>
      <w:r w:rsidRPr="001C21DC">
        <w:rPr>
          <w:i/>
          <w:lang w:val="en-GB"/>
        </w:rPr>
        <w:t>vis-à-vis</w:t>
      </w:r>
      <w:r w:rsidRPr="001C21DC">
        <w:rPr>
          <w:lang w:val="en-GB"/>
        </w:rPr>
        <w:t xml:space="preserve"> </w:t>
      </w:r>
      <w:r w:rsidR="00E930E5" w:rsidRPr="001C21DC">
        <w:rPr>
          <w:lang w:val="en-GB"/>
        </w:rPr>
        <w:t xml:space="preserve">competent </w:t>
      </w:r>
      <w:r w:rsidRPr="001C21DC">
        <w:rPr>
          <w:lang w:val="en-GB"/>
        </w:rPr>
        <w:t>authorities</w:t>
      </w:r>
      <w:r w:rsidR="00E930E5" w:rsidRPr="001C21DC">
        <w:rPr>
          <w:lang w:val="en-GB"/>
        </w:rPr>
        <w:t xml:space="preserve"> in Kosovo</w:t>
      </w:r>
      <w:r w:rsidRPr="001C21DC">
        <w:rPr>
          <w:lang w:val="en-GB"/>
        </w:rPr>
        <w:t xml:space="preserve">, to obtain assurances that the investigations concerning the case at issue will be continued in compliance with the requirements of an effective investigation as envisaged by Article 2, that the circumstances surrounding the </w:t>
      </w:r>
      <w:r w:rsidR="004B095F" w:rsidRPr="001C21DC">
        <w:rPr>
          <w:lang w:val="en-GB"/>
        </w:rPr>
        <w:t>abduction and</w:t>
      </w:r>
      <w:r w:rsidR="00F303B9" w:rsidRPr="001C21DC">
        <w:rPr>
          <w:lang w:val="en-GB"/>
        </w:rPr>
        <w:t xml:space="preserve"> probable killing of M.V.</w:t>
      </w:r>
      <w:r w:rsidR="007F3811" w:rsidRPr="001C21DC">
        <w:rPr>
          <w:lang w:val="en-GB"/>
        </w:rPr>
        <w:t xml:space="preserve"> and </w:t>
      </w:r>
      <w:r w:rsidR="00F303B9" w:rsidRPr="001C21DC">
        <w:rPr>
          <w:lang w:val="en-GB"/>
        </w:rPr>
        <w:t>the abduction and killing of M.Đ. and</w:t>
      </w:r>
      <w:r w:rsidR="007F3811" w:rsidRPr="001C21DC">
        <w:rPr>
          <w:lang w:val="en-GB"/>
        </w:rPr>
        <w:t xml:space="preserve"> D.S.</w:t>
      </w:r>
      <w:r w:rsidR="00560510" w:rsidRPr="001C21DC">
        <w:rPr>
          <w:lang w:val="en-GB"/>
        </w:rPr>
        <w:t xml:space="preserve"> </w:t>
      </w:r>
      <w:r w:rsidRPr="001C21DC">
        <w:rPr>
          <w:lang w:val="en-GB"/>
        </w:rPr>
        <w:t>will be established and that perpetrators will be brought to justice. The complainant</w:t>
      </w:r>
      <w:r w:rsidR="003653FA" w:rsidRPr="001C21DC">
        <w:rPr>
          <w:lang w:val="en-GB"/>
        </w:rPr>
        <w:t>s</w:t>
      </w:r>
      <w:r w:rsidR="000E2A2A" w:rsidRPr="001C21DC">
        <w:rPr>
          <w:lang w:val="en-GB"/>
        </w:rPr>
        <w:t xml:space="preserve"> </w:t>
      </w:r>
      <w:r w:rsidRPr="001C21DC">
        <w:rPr>
          <w:lang w:val="en-GB"/>
        </w:rPr>
        <w:t xml:space="preserve">and/or other next-of-kin shall be informed of such proceedings and relevant documents shall be </w:t>
      </w:r>
      <w:r w:rsidR="008A384F" w:rsidRPr="001C21DC">
        <w:rPr>
          <w:lang w:val="en-GB"/>
        </w:rPr>
        <w:t>disclosed to them, as necessary;</w:t>
      </w:r>
    </w:p>
    <w:p w:rsidR="00F52A7B" w:rsidRPr="001C21DC" w:rsidRDefault="00F52A7B" w:rsidP="000F5F92">
      <w:pPr>
        <w:suppressAutoHyphens/>
        <w:autoSpaceDE w:val="0"/>
        <w:ind w:left="709" w:hanging="142"/>
        <w:jc w:val="both"/>
        <w:rPr>
          <w:b/>
          <w:bCs/>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Publicly acknowledges, within a reasonable time, responsibility with respect to UNMIK’s failure to adequately investigate </w:t>
      </w:r>
      <w:r w:rsidR="007F3811" w:rsidRPr="001C21DC">
        <w:rPr>
          <w:lang w:val="en-GB"/>
        </w:rPr>
        <w:t>the abduction and pro</w:t>
      </w:r>
      <w:r w:rsidR="00F303B9" w:rsidRPr="001C21DC">
        <w:rPr>
          <w:lang w:val="en-GB"/>
        </w:rPr>
        <w:t>bable killing of M.V.</w:t>
      </w:r>
      <w:r w:rsidR="007F3811" w:rsidRPr="001C21DC">
        <w:rPr>
          <w:lang w:val="en-GB"/>
        </w:rPr>
        <w:t xml:space="preserve"> and the abd</w:t>
      </w:r>
      <w:r w:rsidR="00F303B9" w:rsidRPr="001C21DC">
        <w:rPr>
          <w:lang w:val="en-GB"/>
        </w:rPr>
        <w:t xml:space="preserve">uction and killing of M.Đ. and </w:t>
      </w:r>
      <w:r w:rsidR="007F3811" w:rsidRPr="001C21DC">
        <w:rPr>
          <w:lang w:val="en-GB"/>
        </w:rPr>
        <w:t>D.S.,</w:t>
      </w:r>
      <w:r w:rsidRPr="001C21DC">
        <w:rPr>
          <w:lang w:val="en-GB"/>
        </w:rPr>
        <w:t xml:space="preserve"> as well as the distress and mental suffering subsequently incurred</w:t>
      </w:r>
      <w:r w:rsidR="00560510" w:rsidRPr="001C21DC">
        <w:rPr>
          <w:lang w:val="en-GB"/>
        </w:rPr>
        <w:t xml:space="preserve"> by </w:t>
      </w:r>
      <w:r w:rsidR="00F303B9" w:rsidRPr="001C21DC">
        <w:rPr>
          <w:lang w:val="en-GB"/>
        </w:rPr>
        <w:t>L.V. and M.Đ.</w:t>
      </w:r>
      <w:r w:rsidR="007F3811" w:rsidRPr="001C21DC">
        <w:rPr>
          <w:lang w:val="en-GB"/>
        </w:rPr>
        <w:t xml:space="preserve"> </w:t>
      </w:r>
      <w:r w:rsidRPr="001C21DC">
        <w:rPr>
          <w:lang w:val="en-GB"/>
        </w:rPr>
        <w:t>and makes a public apology to the complainant</w:t>
      </w:r>
      <w:r w:rsidR="0097400B" w:rsidRPr="001C21DC">
        <w:rPr>
          <w:lang w:val="en-GB"/>
        </w:rPr>
        <w:t>s</w:t>
      </w:r>
      <w:r w:rsidRPr="001C21DC">
        <w:rPr>
          <w:lang w:val="en-GB"/>
        </w:rPr>
        <w:t xml:space="preserve"> and </w:t>
      </w:r>
      <w:r w:rsidR="0097400B" w:rsidRPr="001C21DC">
        <w:rPr>
          <w:lang w:val="en-GB"/>
        </w:rPr>
        <w:t>their</w:t>
      </w:r>
      <w:r w:rsidRPr="001C21DC">
        <w:rPr>
          <w:lang w:val="en-GB"/>
        </w:rPr>
        <w:t xml:space="preserve"> famil</w:t>
      </w:r>
      <w:r w:rsidR="008A384F" w:rsidRPr="001C21DC">
        <w:rPr>
          <w:lang w:val="en-GB"/>
        </w:rPr>
        <w:t>ies</w:t>
      </w:r>
      <w:r w:rsidRPr="001C21DC">
        <w:rPr>
          <w:lang w:val="en-GB"/>
        </w:rPr>
        <w:t xml:space="preserve"> in this </w:t>
      </w:r>
      <w:r w:rsidR="008A384F" w:rsidRPr="001C21DC">
        <w:rPr>
          <w:lang w:val="en-GB"/>
        </w:rPr>
        <w:t>regard;</w:t>
      </w:r>
    </w:p>
    <w:p w:rsidR="00F52A7B" w:rsidRPr="001C21DC" w:rsidRDefault="00F52A7B" w:rsidP="000F5F92">
      <w:pPr>
        <w:suppressAutoHyphens/>
        <w:autoSpaceDE w:val="0"/>
        <w:ind w:left="709" w:hanging="142"/>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Takes appropriate steps towards payment of adequate compensation to </w:t>
      </w:r>
      <w:r w:rsidR="00875E71" w:rsidRPr="001C21DC">
        <w:rPr>
          <w:lang w:val="en-GB"/>
        </w:rPr>
        <w:t xml:space="preserve">all </w:t>
      </w:r>
      <w:r w:rsidRPr="001C21DC">
        <w:rPr>
          <w:lang w:val="en-GB"/>
        </w:rPr>
        <w:t>complainant</w:t>
      </w:r>
      <w:r w:rsidR="003653FA" w:rsidRPr="001C21DC">
        <w:rPr>
          <w:lang w:val="en-GB"/>
        </w:rPr>
        <w:t>s</w:t>
      </w:r>
      <w:r w:rsidRPr="001C21DC">
        <w:rPr>
          <w:lang w:val="en-GB"/>
        </w:rPr>
        <w:t xml:space="preserve"> for the moral damage suffered due to UNMIK’s failure to conduct an effective investigation</w:t>
      </w:r>
      <w:r w:rsidR="00875E71" w:rsidRPr="001C21DC">
        <w:rPr>
          <w:lang w:val="en-GB"/>
        </w:rPr>
        <w:t>,</w:t>
      </w:r>
      <w:r w:rsidRPr="001C21DC">
        <w:rPr>
          <w:lang w:val="en-GB"/>
        </w:rPr>
        <w:t xml:space="preserve"> as well as for distress and mental suffering incurred </w:t>
      </w:r>
      <w:r w:rsidR="00560510" w:rsidRPr="001C21DC">
        <w:rPr>
          <w:lang w:val="en-GB"/>
        </w:rPr>
        <w:t xml:space="preserve">by </w:t>
      </w:r>
      <w:r w:rsidR="00F303B9" w:rsidRPr="001C21DC">
        <w:rPr>
          <w:lang w:val="en-GB"/>
        </w:rPr>
        <w:t xml:space="preserve">L.V. and M.Đ. </w:t>
      </w:r>
      <w:r w:rsidRPr="001C21DC">
        <w:rPr>
          <w:lang w:val="en-GB"/>
        </w:rPr>
        <w:t>as a consequence of UNMIK’s behavio</w:t>
      </w:r>
      <w:r w:rsidR="003653FA" w:rsidRPr="001C21DC">
        <w:rPr>
          <w:lang w:val="en-GB"/>
        </w:rPr>
        <w:t>u</w:t>
      </w:r>
      <w:r w:rsidRPr="001C21DC">
        <w:rPr>
          <w:lang w:val="en-GB"/>
        </w:rPr>
        <w:t>r.</w:t>
      </w:r>
    </w:p>
    <w:p w:rsidR="00F52A7B" w:rsidRPr="001C21DC" w:rsidRDefault="00F52A7B" w:rsidP="00F52A7B">
      <w:pPr>
        <w:suppressAutoHyphens/>
        <w:autoSpaceDE w:val="0"/>
        <w:ind w:left="360"/>
        <w:jc w:val="both"/>
        <w:rPr>
          <w:b/>
          <w:bCs/>
          <w:lang w:val="en-GB"/>
        </w:rPr>
      </w:pPr>
    </w:p>
    <w:p w:rsidR="00F52A7B" w:rsidRPr="001C21DC" w:rsidRDefault="00F52A7B" w:rsidP="00560510">
      <w:pPr>
        <w:suppressAutoHyphens/>
        <w:autoSpaceDE w:val="0"/>
        <w:ind w:left="450"/>
        <w:jc w:val="both"/>
        <w:rPr>
          <w:b/>
          <w:bCs/>
          <w:lang w:val="en-GB"/>
        </w:rPr>
      </w:pPr>
      <w:r w:rsidRPr="001C21DC">
        <w:rPr>
          <w:b/>
          <w:bCs/>
          <w:lang w:val="en-GB"/>
        </w:rPr>
        <w:t>The Panel also considers appropriate that UNMIK:</w:t>
      </w:r>
    </w:p>
    <w:p w:rsidR="00F52A7B" w:rsidRPr="001C21DC" w:rsidRDefault="00F52A7B" w:rsidP="00F52A7B">
      <w:pPr>
        <w:rPr>
          <w:lang w:val="en-GB"/>
        </w:rPr>
      </w:pPr>
    </w:p>
    <w:p w:rsidR="00F52A7B" w:rsidRPr="001C21DC" w:rsidRDefault="008025EF" w:rsidP="003F48D3">
      <w:pPr>
        <w:numPr>
          <w:ilvl w:val="0"/>
          <w:numId w:val="10"/>
        </w:numPr>
        <w:tabs>
          <w:tab w:val="left" w:pos="900"/>
        </w:tabs>
        <w:suppressAutoHyphens/>
        <w:autoSpaceDE w:val="0"/>
        <w:ind w:left="720" w:firstLine="0"/>
        <w:jc w:val="both"/>
        <w:rPr>
          <w:lang w:val="en-GB"/>
        </w:rPr>
      </w:pPr>
      <w:r w:rsidRPr="001C21DC">
        <w:rPr>
          <w:lang w:val="en-GB"/>
        </w:rPr>
        <w:t>I</w:t>
      </w:r>
      <w:r w:rsidR="00F52A7B" w:rsidRPr="001C21DC">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C21DC" w:rsidRDefault="00F52A7B" w:rsidP="00FA6A25">
      <w:pPr>
        <w:pStyle w:val="ListParagraph"/>
        <w:ind w:left="360" w:firstLine="66"/>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1C21DC" w:rsidRDefault="00F52A7B" w:rsidP="00F52A7B">
      <w:pPr>
        <w:rPr>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r w:rsidRPr="001C21DC">
        <w:rPr>
          <w:b/>
          <w:lang w:val="en-GB"/>
        </w:rPr>
        <w:t>FOR THESE REASONS,</w:t>
      </w: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autoSpaceDE w:val="0"/>
        <w:autoSpaceDN w:val="0"/>
        <w:adjustRightInd w:val="0"/>
        <w:jc w:val="both"/>
        <w:rPr>
          <w:lang w:val="en-GB"/>
        </w:rPr>
      </w:pPr>
      <w:r w:rsidRPr="001C21DC">
        <w:rPr>
          <w:lang w:val="en-GB"/>
        </w:rPr>
        <w:t>The Panel, unanimously,</w:t>
      </w:r>
    </w:p>
    <w:p w:rsidR="00F52A7B" w:rsidRPr="001C21DC" w:rsidRDefault="00F52A7B" w:rsidP="00F52A7B">
      <w:pPr>
        <w:autoSpaceDE w:val="0"/>
        <w:autoSpaceDN w:val="0"/>
        <w:adjustRightInd w:val="0"/>
        <w:jc w:val="both"/>
        <w:rPr>
          <w:lang w:val="en-GB"/>
        </w:rPr>
      </w:pPr>
      <w:r w:rsidRPr="001C21DC">
        <w:rPr>
          <w:lang w:val="en-GB"/>
        </w:rPr>
        <w:t xml:space="preserve"> </w:t>
      </w:r>
    </w:p>
    <w:p w:rsidR="00F52A7B" w:rsidRPr="001C21DC" w:rsidRDefault="00F52A7B" w:rsidP="00F52A7B">
      <w:pPr>
        <w:autoSpaceDE w:val="0"/>
        <w:autoSpaceDN w:val="0"/>
        <w:adjustRightInd w:val="0"/>
        <w:jc w:val="both"/>
        <w:rPr>
          <w:lang w:val="en-G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FINDS THAT THERE HAS BEEN</w:t>
      </w:r>
      <w:r w:rsidR="001B155D" w:rsidRPr="001C21DC">
        <w:rPr>
          <w:b/>
        </w:rPr>
        <w:t xml:space="preserve"> A VIOLATION OF THE PROCEDURAL </w:t>
      </w:r>
      <w:r w:rsidRPr="001C21DC">
        <w:rPr>
          <w:b/>
        </w:rPr>
        <w:t>OBLIGATION UNDER ARTICLE 2</w:t>
      </w:r>
      <w:r w:rsidR="001B155D" w:rsidRPr="001C21DC">
        <w:rPr>
          <w:b/>
        </w:rPr>
        <w:t xml:space="preserve"> OF THE EUROPEAN CONVENTION ON </w:t>
      </w:r>
      <w:r w:rsidRPr="001C21DC">
        <w:rPr>
          <w:b/>
        </w:rPr>
        <w:t>HUMAN RIGHTS;</w:t>
      </w:r>
    </w:p>
    <w:p w:rsidR="00F52A7B" w:rsidRPr="001C21DC" w:rsidRDefault="00F52A7B" w:rsidP="00F52A7B">
      <w:pPr>
        <w:pStyle w:val="JuList"/>
        <w:ind w:left="0" w:firstLine="0"/>
        <w:rPr>
          <w:b/>
        </w:rPr>
      </w:pPr>
    </w:p>
    <w:p w:rsidR="00560510" w:rsidRPr="001C21DC" w:rsidRDefault="00560510" w:rsidP="00A4416D">
      <w:pPr>
        <w:pStyle w:val="JuList"/>
        <w:numPr>
          <w:ilvl w:val="0"/>
          <w:numId w:val="5"/>
        </w:numPr>
        <w:tabs>
          <w:tab w:val="clear" w:pos="567"/>
          <w:tab w:val="num" w:pos="-142"/>
        </w:tabs>
        <w:ind w:left="284" w:hanging="284"/>
        <w:rPr>
          <w:b/>
          <w:bCs/>
          <w:szCs w:val="24"/>
          <w:lang w:eastAsia="en-US"/>
        </w:rPr>
      </w:pPr>
      <w:r w:rsidRPr="001C21DC">
        <w:rPr>
          <w:b/>
        </w:rPr>
        <w:t>FINDS THAT THERE HAS BEEN A VIOLATION OF THE SUBSTANTIVE OBLIGATION UNDER ARTICLE 3 OF THE EUROPEAN CONVENTION ON HUMAN RIGHTS WITH</w:t>
      </w:r>
      <w:r w:rsidR="00F303B9" w:rsidRPr="001C21DC">
        <w:rPr>
          <w:b/>
        </w:rPr>
        <w:t xml:space="preserve"> REGARD TO THE COMPLAINTS OF</w:t>
      </w:r>
      <w:r w:rsidR="007F3811" w:rsidRPr="001C21DC">
        <w:rPr>
          <w:b/>
        </w:rPr>
        <w:t xml:space="preserve"> L</w:t>
      </w:r>
      <w:r w:rsidR="00F303B9" w:rsidRPr="001C21DC">
        <w:rPr>
          <w:b/>
        </w:rPr>
        <w:t>.V. AND M. Đ.</w:t>
      </w:r>
      <w:r w:rsidRPr="001C21DC">
        <w:rPr>
          <w:b/>
        </w:rPr>
        <w:t>;</w:t>
      </w:r>
    </w:p>
    <w:p w:rsidR="00F52A7B" w:rsidRPr="001C21DC" w:rsidRDefault="00F52A7B" w:rsidP="00F52A7B">
      <w:pPr>
        <w:pStyle w:val="JuList"/>
        <w:ind w:left="0" w:firstLine="0"/>
        <w:rPr>
          <w: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RECOMMENDS</w:t>
      </w:r>
      <w:r w:rsidRPr="001C21DC">
        <w:rPr>
          <w:b/>
          <w:bCs/>
          <w:lang w:eastAsia="en-US"/>
        </w:rPr>
        <w:t xml:space="preserve"> THAT UNMIK:</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URGES COMPETENT AUTHORITIES IN KOSOVO TO TAKE ALL POSSIBLE STEPS IN ORDER TO ENSURE THAT THE CRIMINAL INVESTIGATION INTO THE </w:t>
      </w:r>
      <w:r w:rsidR="004B095F" w:rsidRPr="001C21DC">
        <w:rPr>
          <w:b/>
        </w:rPr>
        <w:t>ABD</w:t>
      </w:r>
      <w:r w:rsidR="00560510" w:rsidRPr="001C21DC">
        <w:rPr>
          <w:b/>
        </w:rPr>
        <w:t xml:space="preserve">UCTION AND </w:t>
      </w:r>
      <w:r w:rsidR="007F3811" w:rsidRPr="001C21DC">
        <w:rPr>
          <w:b/>
        </w:rPr>
        <w:t xml:space="preserve">PROBABLE KILLING OF </w:t>
      </w:r>
      <w:r w:rsidR="00401775" w:rsidRPr="001C21DC">
        <w:rPr>
          <w:b/>
        </w:rPr>
        <w:t>M.V.</w:t>
      </w:r>
      <w:r w:rsidR="007F3811" w:rsidRPr="001C21DC">
        <w:rPr>
          <w:b/>
        </w:rPr>
        <w:t xml:space="preserve"> AND THE ABDUCTION AND KILLING OF </w:t>
      </w:r>
      <w:r w:rsidR="00401775" w:rsidRPr="001C21DC">
        <w:rPr>
          <w:b/>
        </w:rPr>
        <w:t>M.Đ.</w:t>
      </w:r>
      <w:r w:rsidR="00AD007D" w:rsidRPr="001C21DC">
        <w:rPr>
          <w:b/>
        </w:rPr>
        <w:t xml:space="preserve"> AND </w:t>
      </w:r>
      <w:r w:rsidR="007F3811" w:rsidRPr="001C21DC">
        <w:rPr>
          <w:b/>
        </w:rPr>
        <w:t xml:space="preserve">D.S. </w:t>
      </w:r>
      <w:r w:rsidRPr="001C21DC">
        <w:rPr>
          <w:b/>
          <w:bCs/>
          <w:lang w:eastAsia="en-US"/>
        </w:rPr>
        <w:t>IS CONTINUED IN COMPLIANCE WITH ARTICLE 2 OF THE ECHR AND THAT THE PERPETRATORS ARE BROUGHT TO JUSTICE;</w:t>
      </w:r>
    </w:p>
    <w:p w:rsidR="00F52A7B" w:rsidRPr="001C21DC" w:rsidRDefault="00F52A7B" w:rsidP="00F52A7B">
      <w:pPr>
        <w:pStyle w:val="JuList"/>
        <w:ind w:left="36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PUBLICLY ACKNOWLEDGES RESPONSIBILITY FOR ITS FAILURE TO CONDUCT AN EFFECTIVE INVESTIGATION INTO </w:t>
      </w:r>
      <w:r w:rsidR="00CE737C" w:rsidRPr="001C21DC">
        <w:rPr>
          <w:b/>
          <w:bCs/>
          <w:lang w:eastAsia="en-US"/>
        </w:rPr>
        <w:t xml:space="preserve">THE </w:t>
      </w:r>
      <w:r w:rsidR="00CE737C" w:rsidRPr="001C21DC">
        <w:rPr>
          <w:b/>
        </w:rPr>
        <w:t>ABDUCTION AND PRO</w:t>
      </w:r>
      <w:r w:rsidR="00F303B9" w:rsidRPr="001C21DC">
        <w:rPr>
          <w:b/>
        </w:rPr>
        <w:t>BABLE KILLING OF M.V.</w:t>
      </w:r>
      <w:r w:rsidR="00CE737C" w:rsidRPr="001C21DC">
        <w:rPr>
          <w:b/>
        </w:rPr>
        <w:t xml:space="preserve"> AND THE ABDUCTION</w:t>
      </w:r>
      <w:r w:rsidR="00F303B9" w:rsidRPr="001C21DC">
        <w:rPr>
          <w:b/>
        </w:rPr>
        <w:t xml:space="preserve"> AND KILLING OF M.Đ. AND </w:t>
      </w:r>
      <w:r w:rsidR="00CE737C" w:rsidRPr="001C21DC">
        <w:rPr>
          <w:b/>
        </w:rPr>
        <w:t>D.S.</w:t>
      </w:r>
      <w:r w:rsidRPr="001C21DC">
        <w:rPr>
          <w:b/>
        </w:rPr>
        <w:t>,</w:t>
      </w:r>
      <w:r w:rsidRPr="001C21DC">
        <w:rPr>
          <w:b/>
          <w:bCs/>
          <w:lang w:eastAsia="en-US"/>
        </w:rPr>
        <w:t xml:space="preserve"> AS WELL AS FOR</w:t>
      </w:r>
      <w:r w:rsidRPr="001C21DC">
        <w:rPr>
          <w:b/>
          <w:color w:val="000000"/>
        </w:rPr>
        <w:t xml:space="preserve"> DISTRESS AND MENTAL SUFFERING INCURRED</w:t>
      </w:r>
      <w:r w:rsidR="00875E71" w:rsidRPr="001C21DC">
        <w:rPr>
          <w:b/>
          <w:color w:val="000000"/>
        </w:rPr>
        <w:t xml:space="preserve"> BY </w:t>
      </w:r>
      <w:r w:rsidR="00F303B9" w:rsidRPr="001C21DC">
        <w:rPr>
          <w:b/>
        </w:rPr>
        <w:t>L.V. AND M. Đ.</w:t>
      </w:r>
      <w:r w:rsidR="00875E71" w:rsidRPr="001C21DC">
        <w:rPr>
          <w:b/>
          <w:color w:val="000000"/>
        </w:rPr>
        <w:t>,</w:t>
      </w:r>
      <w:r w:rsidR="00875E71" w:rsidRPr="001C21DC">
        <w:rPr>
          <w:b/>
          <w:bCs/>
          <w:lang w:eastAsia="en-US"/>
        </w:rPr>
        <w:t xml:space="preserve"> AND MAKES A PUBLIC APOLOGY TO THE COMPLAINANTS AND THEIR FAMILIES; </w:t>
      </w:r>
    </w:p>
    <w:p w:rsidR="00F52A7B" w:rsidRPr="001C21DC" w:rsidRDefault="00F52A7B" w:rsidP="00F52A7B">
      <w:pPr>
        <w:pStyle w:val="JuList"/>
        <w:ind w:left="360" w:firstLine="0"/>
        <w:rPr>
          <w:b/>
          <w:bCs/>
          <w:lang w:eastAsia="en-US"/>
        </w:rPr>
      </w:pPr>
    </w:p>
    <w:p w:rsidR="00F52A7B" w:rsidRPr="001C21DC" w:rsidRDefault="00560510" w:rsidP="00A4416D">
      <w:pPr>
        <w:pStyle w:val="JuList"/>
        <w:numPr>
          <w:ilvl w:val="0"/>
          <w:numId w:val="6"/>
        </w:numPr>
        <w:ind w:left="426" w:hanging="283"/>
        <w:rPr>
          <w:b/>
        </w:rPr>
      </w:pPr>
      <w:r w:rsidRPr="001C21DC">
        <w:rPr>
          <w:b/>
          <w:bCs/>
          <w:caps/>
          <w:lang w:eastAsia="en-US"/>
        </w:rPr>
        <w:t xml:space="preserve">TAKES APPROPRIATE STEPS TOWARDS PAYMENT OF ADEQUATE </w:t>
      </w:r>
      <w:r w:rsidRPr="001C21DC">
        <w:rPr>
          <w:b/>
          <w:bCs/>
          <w:lang w:eastAsia="en-US"/>
        </w:rPr>
        <w:t>COMPENSATION</w:t>
      </w:r>
      <w:r w:rsidRPr="001C21DC">
        <w:rPr>
          <w:b/>
          <w:bCs/>
          <w:caps/>
          <w:lang w:eastAsia="en-US"/>
        </w:rPr>
        <w:t xml:space="preserve"> FOR MORAL DAMAGE IN RELATION TO THE FINDING OF VIOLATIONS OF ARTICLE 2 TO ALL COMPLAINANTS, AND IN RELATION TO THE FINDING OF VIOLATIONS OF ARTICLE 3 OF THE ECHR TO </w:t>
      </w:r>
      <w:r w:rsidR="00F303B9" w:rsidRPr="001C21DC">
        <w:rPr>
          <w:b/>
        </w:rPr>
        <w:t>L.V. AND M. Đ.</w:t>
      </w:r>
      <w:r w:rsidRPr="001C21DC">
        <w:rPr>
          <w:b/>
        </w:rPr>
        <w:t>;</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TAKES APPROPRIATE STEPS TOWARDS THE REALISATION OF A FULL AND COMPREHENSIVE REPARATION PROGRAMME;</w:t>
      </w:r>
    </w:p>
    <w:p w:rsidR="00F52A7B" w:rsidRPr="001C21DC" w:rsidRDefault="00F52A7B" w:rsidP="00F52A7B">
      <w:pPr>
        <w:pStyle w:val="ListParagraph"/>
        <w:rPr>
          <w:b/>
          <w:bCs/>
          <w:lang w:val="en-GB" w:eastAsia="en-US"/>
        </w:rPr>
      </w:pPr>
    </w:p>
    <w:p w:rsidR="00B429C5" w:rsidRPr="001C21DC" w:rsidRDefault="00F52A7B" w:rsidP="00CE737C">
      <w:pPr>
        <w:pStyle w:val="JuList"/>
        <w:numPr>
          <w:ilvl w:val="0"/>
          <w:numId w:val="6"/>
        </w:numPr>
        <w:ind w:left="426" w:hanging="283"/>
        <w:rPr>
          <w:b/>
          <w:bCs/>
          <w:lang w:eastAsia="en-US"/>
        </w:rPr>
      </w:pPr>
      <w:r w:rsidRPr="001C21DC">
        <w:rPr>
          <w:b/>
          <w:bCs/>
          <w:lang w:eastAsia="en-US"/>
        </w:rPr>
        <w:t>TAKES APPROPRIATE STEPS AT THE UNITED NATIONS AS A GUARANTEE OF NON REPETITION;</w:t>
      </w:r>
    </w:p>
    <w:p w:rsidR="0097400B" w:rsidRPr="001C21DC" w:rsidRDefault="0097400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TAKES IMMEDIATE AND EFFECTIVE MEASURES TO IMPLEMENT THE RECOMMENDATIONS OF THE PANEL AND TO INFORM THE COMPLAINANT</w:t>
      </w:r>
      <w:r w:rsidR="0097400B" w:rsidRPr="001C21DC">
        <w:rPr>
          <w:b/>
          <w:bCs/>
          <w:lang w:eastAsia="en-US"/>
        </w:rPr>
        <w:t>S</w:t>
      </w:r>
      <w:r w:rsidRPr="001C21DC">
        <w:rPr>
          <w:b/>
          <w:bCs/>
          <w:lang w:eastAsia="en-US"/>
        </w:rPr>
        <w:t xml:space="preserve"> AND THE PANEL ABOUT FURTHER DEVELOPMENTS IN THIS CASE.</w:t>
      </w:r>
    </w:p>
    <w:p w:rsidR="00F52A7B" w:rsidRPr="001C21DC" w:rsidRDefault="00F52A7B"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lang w:val="en-GB"/>
        </w:rPr>
      </w:pPr>
    </w:p>
    <w:p w:rsidR="00F52A7B" w:rsidRPr="001C21DC" w:rsidRDefault="005A5B3C" w:rsidP="00F52A7B">
      <w:pPr>
        <w:autoSpaceDE w:val="0"/>
        <w:autoSpaceDN w:val="0"/>
        <w:adjustRightInd w:val="0"/>
        <w:jc w:val="both"/>
        <w:rPr>
          <w:lang w:val="en-GB"/>
        </w:rPr>
      </w:pPr>
      <w:r w:rsidRPr="001C21DC">
        <w:rPr>
          <w:lang w:val="en-GB"/>
        </w:rPr>
        <w:t xml:space="preserve">   </w:t>
      </w:r>
      <w:r w:rsidR="003663CE" w:rsidRPr="001C21DC">
        <w:rPr>
          <w:lang w:val="en-GB"/>
        </w:rPr>
        <w:t>Andrey Antonov</w:t>
      </w:r>
      <w:r w:rsidR="00F52A7B" w:rsidRPr="001C21DC">
        <w:rPr>
          <w:lang w:val="en-GB"/>
        </w:rPr>
        <w:tab/>
      </w:r>
      <w:r w:rsidRPr="001C21DC">
        <w:rPr>
          <w:lang w:val="en-GB"/>
        </w:rPr>
        <w:tab/>
      </w:r>
      <w:r w:rsidRPr="001C21DC">
        <w:rPr>
          <w:lang w:val="en-GB"/>
        </w:rPr>
        <w:tab/>
      </w:r>
      <w:r w:rsidRPr="001C21DC">
        <w:rPr>
          <w:lang w:val="en-GB"/>
        </w:rPr>
        <w:tab/>
      </w:r>
      <w:r w:rsidRPr="001C21DC">
        <w:rPr>
          <w:lang w:val="en-GB"/>
        </w:rPr>
        <w:tab/>
      </w:r>
      <w:r w:rsidRPr="001C21DC">
        <w:rPr>
          <w:lang w:val="en-GB"/>
        </w:rPr>
        <w:tab/>
      </w:r>
      <w:r w:rsidR="00FD2F8E" w:rsidRPr="001C21DC">
        <w:rPr>
          <w:lang w:val="en-GB"/>
        </w:rPr>
        <w:t xml:space="preserve"> </w:t>
      </w:r>
      <w:r w:rsidR="003A3D9D">
        <w:rPr>
          <w:lang w:val="en-GB"/>
        </w:rPr>
        <w:t xml:space="preserve">      </w:t>
      </w:r>
      <w:r w:rsidR="00F52A7B" w:rsidRPr="001C21DC">
        <w:rPr>
          <w:lang w:val="en-GB"/>
        </w:rPr>
        <w:t xml:space="preserve">Marek </w:t>
      </w:r>
      <w:r w:rsidR="00FD2F8E" w:rsidRPr="001C21DC">
        <w:rPr>
          <w:lang w:val="en-GB"/>
        </w:rPr>
        <w:t>Nowicki</w:t>
      </w:r>
    </w:p>
    <w:p w:rsidR="00F52A7B" w:rsidRPr="001C21DC" w:rsidRDefault="005A5B3C" w:rsidP="00F52A7B">
      <w:pPr>
        <w:autoSpaceDE w:val="0"/>
        <w:autoSpaceDN w:val="0"/>
        <w:adjustRightInd w:val="0"/>
        <w:jc w:val="both"/>
        <w:rPr>
          <w:lang w:val="en-GB"/>
        </w:rPr>
      </w:pPr>
      <w:r w:rsidRPr="001C21DC">
        <w:rPr>
          <w:lang w:val="en-GB"/>
        </w:rPr>
        <w:t xml:space="preserve">   </w:t>
      </w:r>
      <w:r w:rsidR="00F52A7B" w:rsidRPr="001C21DC">
        <w:rPr>
          <w:lang w:val="en-GB"/>
        </w:rPr>
        <w:t>Executive Officer</w:t>
      </w:r>
      <w:r w:rsidR="00F95D8C" w:rsidRPr="001C21DC">
        <w:rPr>
          <w:lang w:val="en-GB"/>
        </w:rPr>
        <w:t xml:space="preserve"> </w:t>
      </w:r>
      <w:r w:rsidR="00F95D8C" w:rsidRPr="001C21DC">
        <w:rPr>
          <w:lang w:val="en-GB"/>
        </w:rPr>
        <w:tab/>
      </w:r>
      <w:r w:rsidR="00F95D8C" w:rsidRPr="001C21DC">
        <w:rPr>
          <w:lang w:val="en-GB"/>
        </w:rPr>
        <w:tab/>
      </w:r>
      <w:r w:rsidR="00F95D8C" w:rsidRPr="001C21DC">
        <w:rPr>
          <w:lang w:val="en-GB"/>
        </w:rPr>
        <w:tab/>
      </w:r>
      <w:r w:rsidR="00F95D8C" w:rsidRPr="001C21DC">
        <w:rPr>
          <w:lang w:val="en-GB"/>
        </w:rPr>
        <w:tab/>
      </w:r>
      <w:r w:rsidRPr="001C21DC">
        <w:rPr>
          <w:lang w:val="en-GB"/>
        </w:rPr>
        <w:tab/>
      </w:r>
      <w:r w:rsidR="00F95D8C" w:rsidRPr="001C21DC">
        <w:rPr>
          <w:lang w:val="en-GB"/>
        </w:rPr>
        <w:tab/>
      </w:r>
      <w:r w:rsidR="003A3D9D">
        <w:rPr>
          <w:lang w:val="en-GB"/>
        </w:rPr>
        <w:t xml:space="preserve">     </w:t>
      </w:r>
      <w:r w:rsidR="00B429C5" w:rsidRPr="001C21DC">
        <w:rPr>
          <w:lang w:val="en-GB"/>
        </w:rPr>
        <w:t xml:space="preserve">  </w:t>
      </w:r>
      <w:r w:rsidR="00F52A7B" w:rsidRPr="001C21DC">
        <w:rPr>
          <w:lang w:val="en-GB"/>
        </w:rPr>
        <w:t>Presiding Member</w:t>
      </w:r>
    </w:p>
    <w:p w:rsidR="009B768B" w:rsidRPr="001C21DC" w:rsidRDefault="009B768B">
      <w:pPr>
        <w:rPr>
          <w:lang w:val="en-GB"/>
        </w:rPr>
      </w:pPr>
      <w:r w:rsidRPr="001C21DC">
        <w:rPr>
          <w:lang w:val="en-GB"/>
        </w:rPr>
        <w:br w:type="page"/>
      </w:r>
    </w:p>
    <w:p w:rsidR="008F03DC" w:rsidRPr="001C21DC" w:rsidRDefault="008F03DC" w:rsidP="008F03DC">
      <w:pPr>
        <w:jc w:val="right"/>
        <w:rPr>
          <w:i/>
          <w:lang w:val="en-GB"/>
        </w:rPr>
      </w:pPr>
      <w:r w:rsidRPr="001C21DC">
        <w:rPr>
          <w:i/>
          <w:lang w:val="en-GB"/>
        </w:rPr>
        <w:t>Annex</w:t>
      </w:r>
    </w:p>
    <w:p w:rsidR="009B768B" w:rsidRPr="001C21DC" w:rsidRDefault="009B768B" w:rsidP="008F03DC">
      <w:pPr>
        <w:jc w:val="right"/>
        <w:rPr>
          <w:i/>
          <w:lang w:val="en-GB"/>
        </w:rPr>
      </w:pPr>
    </w:p>
    <w:p w:rsidR="004F71FD" w:rsidRPr="001C21DC" w:rsidRDefault="004F71FD" w:rsidP="004C104C">
      <w:pPr>
        <w:jc w:val="center"/>
        <w:rPr>
          <w:b/>
          <w:lang w:val="en-GB"/>
        </w:rPr>
      </w:pPr>
    </w:p>
    <w:p w:rsidR="00F52A7B" w:rsidRPr="001C21DC" w:rsidRDefault="00F52A7B" w:rsidP="004C104C">
      <w:pPr>
        <w:jc w:val="center"/>
        <w:rPr>
          <w:lang w:val="en-GB"/>
        </w:rPr>
      </w:pPr>
      <w:r w:rsidRPr="001C21DC">
        <w:rPr>
          <w:b/>
          <w:lang w:val="en-GB"/>
        </w:rPr>
        <w:t>ABBREVIATIONS AND ACRONYMS</w:t>
      </w: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r w:rsidRPr="001C21DC">
        <w:rPr>
          <w:b/>
          <w:lang w:val="en-GB"/>
        </w:rPr>
        <w:t xml:space="preserve">CCIU </w:t>
      </w:r>
      <w:r w:rsidRPr="001C21DC">
        <w:rPr>
          <w:lang w:val="en-GB"/>
        </w:rPr>
        <w:t>- Central Criminal Investigation Unit</w:t>
      </w:r>
    </w:p>
    <w:p w:rsidR="00F52A7B" w:rsidRPr="001C21DC" w:rsidRDefault="00F52A7B" w:rsidP="00F52A7B">
      <w:pPr>
        <w:autoSpaceDE w:val="0"/>
        <w:jc w:val="both"/>
        <w:rPr>
          <w:lang w:val="en-GB"/>
        </w:rPr>
      </w:pPr>
      <w:r w:rsidRPr="001C21DC">
        <w:rPr>
          <w:b/>
          <w:lang w:val="en-GB"/>
        </w:rPr>
        <w:t xml:space="preserve">CCPR – </w:t>
      </w:r>
      <w:r w:rsidRPr="001C21DC">
        <w:rPr>
          <w:lang w:val="en-GB"/>
        </w:rPr>
        <w:t>International Covenant on Civil and Political Rights</w:t>
      </w:r>
    </w:p>
    <w:p w:rsidR="00F52A7B" w:rsidRPr="001C21DC" w:rsidRDefault="00F52A7B" w:rsidP="00F52A7B">
      <w:pPr>
        <w:autoSpaceDE w:val="0"/>
        <w:jc w:val="both"/>
        <w:rPr>
          <w:lang w:val="en-GB"/>
        </w:rPr>
      </w:pPr>
      <w:r w:rsidRPr="001C21DC">
        <w:rPr>
          <w:b/>
          <w:lang w:val="en-GB"/>
        </w:rPr>
        <w:t xml:space="preserve">DOJ </w:t>
      </w:r>
      <w:r w:rsidRPr="001C21DC">
        <w:rPr>
          <w:lang w:val="en-GB"/>
        </w:rPr>
        <w:t>- Department of Justice</w:t>
      </w:r>
    </w:p>
    <w:p w:rsidR="00F52A7B" w:rsidRPr="001C21DC" w:rsidRDefault="00F52A7B" w:rsidP="00F52A7B">
      <w:pPr>
        <w:autoSpaceDE w:val="0"/>
        <w:jc w:val="both"/>
        <w:rPr>
          <w:lang w:val="en-GB"/>
        </w:rPr>
      </w:pPr>
      <w:r w:rsidRPr="001C21DC">
        <w:rPr>
          <w:b/>
          <w:lang w:val="en-GB"/>
        </w:rPr>
        <w:t>DPPO</w:t>
      </w:r>
      <w:r w:rsidRPr="001C21DC">
        <w:rPr>
          <w:lang w:val="en-GB"/>
        </w:rPr>
        <w:t xml:space="preserve"> - District Public Prosecutor’s Office</w:t>
      </w:r>
    </w:p>
    <w:p w:rsidR="00F52A7B" w:rsidRPr="001C21DC" w:rsidRDefault="00F52A7B" w:rsidP="00F52A7B">
      <w:pPr>
        <w:autoSpaceDE w:val="0"/>
        <w:jc w:val="both"/>
        <w:rPr>
          <w:lang w:val="en-GB"/>
        </w:rPr>
      </w:pPr>
      <w:r w:rsidRPr="001C21DC">
        <w:rPr>
          <w:b/>
          <w:lang w:val="en-GB"/>
        </w:rPr>
        <w:t>ECHR</w:t>
      </w:r>
      <w:r w:rsidRPr="001C21DC">
        <w:rPr>
          <w:lang w:val="en-GB"/>
        </w:rPr>
        <w:t xml:space="preserve"> - European Convention on Human Rights</w:t>
      </w:r>
    </w:p>
    <w:p w:rsidR="00F52A7B" w:rsidRPr="001C21DC" w:rsidRDefault="00F52A7B" w:rsidP="00F52A7B">
      <w:pPr>
        <w:autoSpaceDE w:val="0"/>
        <w:jc w:val="both"/>
        <w:rPr>
          <w:lang w:val="en-GB"/>
        </w:rPr>
      </w:pPr>
      <w:r w:rsidRPr="001C21DC">
        <w:rPr>
          <w:b/>
          <w:lang w:val="en-GB"/>
        </w:rPr>
        <w:t xml:space="preserve">ECtHR </w:t>
      </w:r>
      <w:r w:rsidRPr="001C21DC">
        <w:rPr>
          <w:lang w:val="en-GB"/>
        </w:rPr>
        <w:t xml:space="preserve">- European Court of Human Rights </w:t>
      </w:r>
    </w:p>
    <w:p w:rsidR="00F52A7B" w:rsidRPr="001C21DC" w:rsidRDefault="00F52A7B" w:rsidP="00F52A7B">
      <w:pPr>
        <w:autoSpaceDE w:val="0"/>
        <w:jc w:val="both"/>
        <w:rPr>
          <w:lang w:val="en-GB"/>
        </w:rPr>
      </w:pPr>
      <w:r w:rsidRPr="001C21DC">
        <w:rPr>
          <w:b/>
          <w:lang w:val="en-GB"/>
        </w:rPr>
        <w:t>EU</w:t>
      </w:r>
      <w:r w:rsidRPr="001C21DC">
        <w:rPr>
          <w:lang w:val="en-GB"/>
        </w:rPr>
        <w:t xml:space="preserve"> – European Union</w:t>
      </w:r>
    </w:p>
    <w:p w:rsidR="00F52A7B" w:rsidRPr="001C21DC" w:rsidRDefault="00F52A7B" w:rsidP="00F52A7B">
      <w:pPr>
        <w:autoSpaceDE w:val="0"/>
        <w:jc w:val="both"/>
        <w:rPr>
          <w:lang w:val="en-GB"/>
        </w:rPr>
      </w:pPr>
      <w:r w:rsidRPr="001C21DC">
        <w:rPr>
          <w:b/>
          <w:lang w:val="en-GB"/>
        </w:rPr>
        <w:t>EULEX</w:t>
      </w:r>
      <w:r w:rsidRPr="001C21DC">
        <w:rPr>
          <w:lang w:val="en-GB"/>
        </w:rPr>
        <w:t xml:space="preserve"> - European Union Rule of Law Mission in Kosovo</w:t>
      </w:r>
    </w:p>
    <w:p w:rsidR="00F52A7B" w:rsidRPr="001C21DC" w:rsidRDefault="00F52A7B" w:rsidP="00F52A7B">
      <w:pPr>
        <w:autoSpaceDE w:val="0"/>
        <w:jc w:val="both"/>
        <w:rPr>
          <w:lang w:val="en-GB"/>
        </w:rPr>
      </w:pPr>
      <w:r w:rsidRPr="001C21DC">
        <w:rPr>
          <w:b/>
          <w:lang w:val="en-GB"/>
        </w:rPr>
        <w:t xml:space="preserve">FRY </w:t>
      </w:r>
      <w:r w:rsidRPr="001C21DC">
        <w:rPr>
          <w:lang w:val="en-GB"/>
        </w:rPr>
        <w:t xml:space="preserve">- Federal Republic of Yugoslavia </w:t>
      </w:r>
    </w:p>
    <w:p w:rsidR="00F52A7B" w:rsidRPr="001C21DC" w:rsidRDefault="00F52A7B" w:rsidP="00F52A7B">
      <w:pPr>
        <w:autoSpaceDE w:val="0"/>
        <w:jc w:val="both"/>
        <w:rPr>
          <w:lang w:val="en-GB"/>
        </w:rPr>
      </w:pPr>
      <w:r w:rsidRPr="001C21DC">
        <w:rPr>
          <w:b/>
          <w:lang w:val="en-GB"/>
        </w:rPr>
        <w:t xml:space="preserve">HRAP </w:t>
      </w:r>
      <w:r w:rsidRPr="001C21DC">
        <w:rPr>
          <w:lang w:val="en-GB"/>
        </w:rPr>
        <w:t>- Human Rights Advisory Panel</w:t>
      </w:r>
    </w:p>
    <w:p w:rsidR="00F52A7B" w:rsidRPr="001C21DC" w:rsidRDefault="00F52A7B" w:rsidP="00F52A7B">
      <w:pPr>
        <w:autoSpaceDE w:val="0"/>
        <w:jc w:val="both"/>
        <w:rPr>
          <w:lang w:val="en-GB"/>
        </w:rPr>
      </w:pPr>
      <w:r w:rsidRPr="001C21DC">
        <w:rPr>
          <w:b/>
          <w:lang w:val="en-GB"/>
        </w:rPr>
        <w:t>HRC</w:t>
      </w:r>
      <w:r w:rsidR="009E5B51" w:rsidRPr="001C21DC">
        <w:rPr>
          <w:lang w:val="en-GB"/>
        </w:rPr>
        <w:t xml:space="preserve"> -</w:t>
      </w:r>
      <w:r w:rsidRPr="001C21DC">
        <w:rPr>
          <w:lang w:val="en-GB"/>
        </w:rPr>
        <w:t xml:space="preserve"> United Nation Human Rights Committee</w:t>
      </w:r>
    </w:p>
    <w:p w:rsidR="00316A34" w:rsidRPr="001C21DC" w:rsidRDefault="00316A34" w:rsidP="00F52A7B">
      <w:pPr>
        <w:autoSpaceDE w:val="0"/>
        <w:jc w:val="both"/>
        <w:rPr>
          <w:lang w:val="en-GB"/>
        </w:rPr>
      </w:pPr>
      <w:r w:rsidRPr="001C21DC">
        <w:rPr>
          <w:b/>
          <w:lang w:val="en-GB"/>
        </w:rPr>
        <w:t xml:space="preserve">HQ </w:t>
      </w:r>
      <w:r w:rsidRPr="001C21DC">
        <w:rPr>
          <w:lang w:val="en-GB"/>
        </w:rPr>
        <w:t>- Headquarters</w:t>
      </w:r>
    </w:p>
    <w:p w:rsidR="00F52A7B" w:rsidRPr="001C21DC" w:rsidRDefault="00F52A7B" w:rsidP="00F52A7B">
      <w:pPr>
        <w:autoSpaceDE w:val="0"/>
        <w:jc w:val="both"/>
        <w:rPr>
          <w:lang w:val="en-GB"/>
        </w:rPr>
      </w:pPr>
      <w:r w:rsidRPr="001C21DC">
        <w:rPr>
          <w:b/>
          <w:lang w:val="en-GB"/>
        </w:rPr>
        <w:t xml:space="preserve">IACtHR </w:t>
      </w:r>
      <w:r w:rsidRPr="001C21DC">
        <w:rPr>
          <w:lang w:val="en-GB"/>
        </w:rPr>
        <w:t>– Inter-American Court of Human Rights</w:t>
      </w:r>
    </w:p>
    <w:p w:rsidR="00F52A7B" w:rsidRPr="001C21DC" w:rsidRDefault="00F52A7B" w:rsidP="00F52A7B">
      <w:pPr>
        <w:autoSpaceDE w:val="0"/>
        <w:jc w:val="both"/>
        <w:rPr>
          <w:lang w:val="en-GB"/>
        </w:rPr>
      </w:pPr>
      <w:r w:rsidRPr="001C21DC">
        <w:rPr>
          <w:b/>
          <w:lang w:val="en-GB"/>
        </w:rPr>
        <w:t>ICMP</w:t>
      </w:r>
      <w:r w:rsidRPr="001C21DC">
        <w:rPr>
          <w:lang w:val="en-GB"/>
        </w:rPr>
        <w:t xml:space="preserve"> - International Commission of Missing Persons</w:t>
      </w:r>
    </w:p>
    <w:p w:rsidR="00F52A7B" w:rsidRPr="001C21DC" w:rsidRDefault="00F52A7B" w:rsidP="00F52A7B">
      <w:pPr>
        <w:autoSpaceDE w:val="0"/>
        <w:jc w:val="both"/>
        <w:rPr>
          <w:lang w:val="en-GB"/>
        </w:rPr>
      </w:pPr>
      <w:r w:rsidRPr="001C21DC">
        <w:rPr>
          <w:b/>
          <w:lang w:val="en-GB"/>
        </w:rPr>
        <w:t>ICRC</w:t>
      </w:r>
      <w:r w:rsidRPr="001C21DC">
        <w:rPr>
          <w:lang w:val="en-GB"/>
        </w:rPr>
        <w:t xml:space="preserve"> - International Committee of the Red Cross</w:t>
      </w:r>
    </w:p>
    <w:p w:rsidR="00F52A7B" w:rsidRPr="001C21DC" w:rsidRDefault="00F52A7B" w:rsidP="00F52A7B">
      <w:pPr>
        <w:autoSpaceDE w:val="0"/>
        <w:jc w:val="both"/>
        <w:rPr>
          <w:lang w:val="en-GB"/>
        </w:rPr>
      </w:pPr>
      <w:r w:rsidRPr="001C21DC">
        <w:rPr>
          <w:b/>
          <w:lang w:val="en-GB"/>
        </w:rPr>
        <w:t xml:space="preserve">ICTY </w:t>
      </w:r>
      <w:r w:rsidRPr="001C21DC">
        <w:rPr>
          <w:lang w:val="en-GB"/>
        </w:rPr>
        <w:t>- International Criminal Tribunal for former Yugoslavia</w:t>
      </w:r>
    </w:p>
    <w:p w:rsidR="00E2443D" w:rsidRPr="001C21DC" w:rsidRDefault="00E2443D" w:rsidP="00F52A7B">
      <w:pPr>
        <w:autoSpaceDE w:val="0"/>
        <w:jc w:val="both"/>
        <w:rPr>
          <w:lang w:val="en-GB"/>
        </w:rPr>
      </w:pPr>
      <w:r w:rsidRPr="001C21DC">
        <w:rPr>
          <w:b/>
          <w:lang w:val="en-GB"/>
        </w:rPr>
        <w:t>IP</w:t>
      </w:r>
      <w:r w:rsidRPr="001C21DC">
        <w:rPr>
          <w:lang w:val="en-GB"/>
        </w:rPr>
        <w:t xml:space="preserve"> - International Prosecutor</w:t>
      </w:r>
    </w:p>
    <w:p w:rsidR="00F52A7B" w:rsidRPr="001C21DC" w:rsidRDefault="00F52A7B" w:rsidP="00F52A7B">
      <w:pPr>
        <w:autoSpaceDE w:val="0"/>
        <w:jc w:val="both"/>
        <w:rPr>
          <w:lang w:val="en-GB"/>
        </w:rPr>
      </w:pPr>
      <w:r w:rsidRPr="001C21DC">
        <w:rPr>
          <w:b/>
          <w:lang w:val="en-GB"/>
        </w:rPr>
        <w:t>KFOR</w:t>
      </w:r>
      <w:r w:rsidRPr="001C21DC">
        <w:rPr>
          <w:lang w:val="en-GB"/>
        </w:rPr>
        <w:t xml:space="preserve"> - International Security Force (commonly known as Kosovo Force)</w:t>
      </w:r>
    </w:p>
    <w:p w:rsidR="00F52A7B" w:rsidRPr="001C21DC" w:rsidRDefault="00F52A7B" w:rsidP="00F52A7B">
      <w:pPr>
        <w:autoSpaceDE w:val="0"/>
        <w:jc w:val="both"/>
        <w:rPr>
          <w:lang w:val="en-GB"/>
        </w:rPr>
      </w:pPr>
      <w:r w:rsidRPr="001C21DC">
        <w:rPr>
          <w:b/>
          <w:lang w:val="en-GB"/>
        </w:rPr>
        <w:t>KLA</w:t>
      </w:r>
      <w:r w:rsidRPr="001C21DC">
        <w:rPr>
          <w:lang w:val="en-GB"/>
        </w:rPr>
        <w:t xml:space="preserve"> - Kosovo Liberation Army</w:t>
      </w:r>
    </w:p>
    <w:p w:rsidR="00F52A7B" w:rsidRPr="001C21DC" w:rsidRDefault="00F52A7B" w:rsidP="00F52A7B">
      <w:pPr>
        <w:autoSpaceDE w:val="0"/>
        <w:jc w:val="both"/>
        <w:rPr>
          <w:lang w:val="en-GB"/>
        </w:rPr>
      </w:pPr>
      <w:r w:rsidRPr="001C21DC">
        <w:rPr>
          <w:b/>
          <w:lang w:val="en-GB"/>
        </w:rPr>
        <w:t xml:space="preserve">MPU </w:t>
      </w:r>
      <w:r w:rsidRPr="001C21DC">
        <w:rPr>
          <w:lang w:val="en-GB"/>
        </w:rPr>
        <w:t>- Missing Persons Unit</w:t>
      </w:r>
    </w:p>
    <w:p w:rsidR="00316A34" w:rsidRPr="001C21DC" w:rsidRDefault="00316A34" w:rsidP="00F52A7B">
      <w:pPr>
        <w:autoSpaceDE w:val="0"/>
        <w:jc w:val="both"/>
        <w:rPr>
          <w:lang w:val="en-GB"/>
        </w:rPr>
      </w:pPr>
      <w:r w:rsidRPr="001C21DC">
        <w:rPr>
          <w:b/>
          <w:lang w:val="en-GB"/>
        </w:rPr>
        <w:t xml:space="preserve">MUP </w:t>
      </w:r>
      <w:r w:rsidR="009E5B51" w:rsidRPr="001C21DC">
        <w:rPr>
          <w:b/>
          <w:lang w:val="en-GB"/>
        </w:rPr>
        <w:t>-</w:t>
      </w:r>
      <w:r w:rsidRPr="001C21DC">
        <w:rPr>
          <w:lang w:val="en-GB"/>
        </w:rPr>
        <w:t xml:space="preserve"> Ministry of Internal Affairs (</w:t>
      </w:r>
      <w:r w:rsidRPr="001C21DC">
        <w:rPr>
          <w:i/>
          <w:lang w:val="en-GB"/>
        </w:rPr>
        <w:t>Министарство унутрашних послова</w:t>
      </w:r>
      <w:r w:rsidRPr="001C21DC">
        <w:rPr>
          <w:lang w:val="en-GB"/>
        </w:rPr>
        <w:t>) of the Republic of Serbia</w:t>
      </w:r>
    </w:p>
    <w:p w:rsidR="00F52A7B" w:rsidRPr="001C21DC" w:rsidRDefault="00F52A7B" w:rsidP="00F52A7B">
      <w:pPr>
        <w:autoSpaceDE w:val="0"/>
        <w:jc w:val="both"/>
        <w:rPr>
          <w:lang w:val="en-GB"/>
        </w:rPr>
      </w:pPr>
      <w:r w:rsidRPr="001C21DC">
        <w:rPr>
          <w:b/>
          <w:lang w:val="en-GB"/>
        </w:rPr>
        <w:t>NATO</w:t>
      </w:r>
      <w:r w:rsidRPr="001C21DC">
        <w:rPr>
          <w:lang w:val="en-GB"/>
        </w:rPr>
        <w:t xml:space="preserve"> - North Atlantic Treaty Organization </w:t>
      </w:r>
    </w:p>
    <w:p w:rsidR="00F52A7B" w:rsidRPr="001C21DC" w:rsidRDefault="00F52A7B" w:rsidP="00F52A7B">
      <w:pPr>
        <w:autoSpaceDE w:val="0"/>
        <w:jc w:val="both"/>
        <w:rPr>
          <w:lang w:val="en-GB"/>
        </w:rPr>
      </w:pPr>
      <w:r w:rsidRPr="001C21DC">
        <w:rPr>
          <w:b/>
          <w:lang w:val="en-GB"/>
        </w:rPr>
        <w:t>OMPF</w:t>
      </w:r>
      <w:r w:rsidRPr="001C21DC">
        <w:rPr>
          <w:lang w:val="en-GB"/>
        </w:rPr>
        <w:t xml:space="preserve"> - Office on Missing Persons and Forensics</w:t>
      </w:r>
    </w:p>
    <w:p w:rsidR="00F52A7B" w:rsidRPr="001C21DC" w:rsidRDefault="00F52A7B" w:rsidP="00F52A7B">
      <w:pPr>
        <w:autoSpaceDE w:val="0"/>
        <w:jc w:val="both"/>
        <w:rPr>
          <w:lang w:val="en-GB"/>
        </w:rPr>
      </w:pPr>
      <w:r w:rsidRPr="001C21DC">
        <w:rPr>
          <w:b/>
          <w:lang w:val="en-GB"/>
        </w:rPr>
        <w:t>OSCE</w:t>
      </w:r>
      <w:r w:rsidRPr="001C21DC">
        <w:rPr>
          <w:lang w:val="en-GB"/>
        </w:rPr>
        <w:t xml:space="preserve"> - Organization for Security and Cooperation in Europe</w:t>
      </w:r>
    </w:p>
    <w:p w:rsidR="00F52A7B" w:rsidRPr="001C21DC" w:rsidRDefault="00F52A7B" w:rsidP="00F52A7B">
      <w:pPr>
        <w:autoSpaceDE w:val="0"/>
        <w:jc w:val="both"/>
        <w:rPr>
          <w:lang w:val="en-GB"/>
        </w:rPr>
      </w:pPr>
      <w:r w:rsidRPr="001C21DC">
        <w:rPr>
          <w:b/>
          <w:lang w:val="en-GB"/>
        </w:rPr>
        <w:t>RIU</w:t>
      </w:r>
      <w:r w:rsidRPr="001C21DC">
        <w:rPr>
          <w:lang w:val="en-GB"/>
        </w:rPr>
        <w:t xml:space="preserve"> - Regional Investigation Unit</w:t>
      </w:r>
    </w:p>
    <w:p w:rsidR="00F52A7B" w:rsidRPr="001C21DC" w:rsidRDefault="00F52A7B" w:rsidP="00F52A7B">
      <w:pPr>
        <w:autoSpaceDE w:val="0"/>
        <w:jc w:val="both"/>
        <w:rPr>
          <w:lang w:val="en-GB"/>
        </w:rPr>
      </w:pPr>
      <w:r w:rsidRPr="001C21DC">
        <w:rPr>
          <w:b/>
          <w:lang w:val="en-GB"/>
        </w:rPr>
        <w:t>SRSG</w:t>
      </w:r>
      <w:r w:rsidRPr="001C21DC">
        <w:rPr>
          <w:lang w:val="en-GB"/>
        </w:rPr>
        <w:t xml:space="preserve"> - Special Representative of the Secretary-General </w:t>
      </w:r>
    </w:p>
    <w:p w:rsidR="00626D00" w:rsidRPr="001C21DC" w:rsidRDefault="00626D00" w:rsidP="00F52A7B">
      <w:pPr>
        <w:autoSpaceDE w:val="0"/>
        <w:jc w:val="both"/>
        <w:rPr>
          <w:lang w:val="en-GB"/>
        </w:rPr>
      </w:pPr>
      <w:r w:rsidRPr="001C21DC">
        <w:rPr>
          <w:b/>
          <w:lang w:val="en-GB"/>
        </w:rPr>
        <w:t xml:space="preserve">SPRK </w:t>
      </w:r>
      <w:r w:rsidRPr="001C21DC">
        <w:rPr>
          <w:lang w:val="en-GB"/>
        </w:rPr>
        <w:t xml:space="preserve">- </w:t>
      </w:r>
      <w:r w:rsidRPr="001C21DC">
        <w:rPr>
          <w:bCs/>
          <w:iCs/>
          <w:lang w:val="en-GB"/>
        </w:rPr>
        <w:t>EULEX Kosovo Special Prosecution Office</w:t>
      </w:r>
    </w:p>
    <w:p w:rsidR="00F52A7B" w:rsidRPr="001C21DC" w:rsidRDefault="00F52A7B" w:rsidP="00F52A7B">
      <w:pPr>
        <w:autoSpaceDE w:val="0"/>
        <w:jc w:val="both"/>
        <w:rPr>
          <w:lang w:val="en-GB"/>
        </w:rPr>
      </w:pPr>
      <w:r w:rsidRPr="001C21DC">
        <w:rPr>
          <w:b/>
          <w:lang w:val="en-GB"/>
        </w:rPr>
        <w:t>UN</w:t>
      </w:r>
      <w:r w:rsidRPr="001C21DC">
        <w:rPr>
          <w:lang w:val="en-GB"/>
        </w:rPr>
        <w:t xml:space="preserve"> - United Nations</w:t>
      </w:r>
    </w:p>
    <w:p w:rsidR="00F52A7B" w:rsidRPr="001C21DC" w:rsidRDefault="00F52A7B" w:rsidP="00F52A7B">
      <w:pPr>
        <w:autoSpaceDE w:val="0"/>
        <w:jc w:val="both"/>
        <w:rPr>
          <w:lang w:val="en-GB"/>
        </w:rPr>
      </w:pPr>
      <w:r w:rsidRPr="001C21DC">
        <w:rPr>
          <w:b/>
          <w:lang w:val="en-GB"/>
        </w:rPr>
        <w:t xml:space="preserve">UNHCR </w:t>
      </w:r>
      <w:r w:rsidRPr="001C21DC">
        <w:rPr>
          <w:lang w:val="en-GB"/>
        </w:rPr>
        <w:t>- United Nations High Commissioner for Refugees</w:t>
      </w:r>
    </w:p>
    <w:p w:rsidR="00F52A7B" w:rsidRPr="001C21DC" w:rsidRDefault="00F52A7B" w:rsidP="00F52A7B">
      <w:pPr>
        <w:autoSpaceDE w:val="0"/>
        <w:jc w:val="both"/>
        <w:rPr>
          <w:lang w:val="en-GB"/>
        </w:rPr>
      </w:pPr>
      <w:r w:rsidRPr="001C21DC">
        <w:rPr>
          <w:b/>
          <w:lang w:val="en-GB"/>
        </w:rPr>
        <w:t>UNMIK</w:t>
      </w:r>
      <w:r w:rsidRPr="001C21DC">
        <w:rPr>
          <w:lang w:val="en-GB"/>
        </w:rPr>
        <w:t xml:space="preserve"> - United Nations Interim Administration Mission in Kosovo </w:t>
      </w:r>
    </w:p>
    <w:p w:rsidR="00F52A7B" w:rsidRPr="001C21DC" w:rsidRDefault="00F52A7B" w:rsidP="00F52A7B">
      <w:pPr>
        <w:autoSpaceDE w:val="0"/>
        <w:jc w:val="both"/>
        <w:rPr>
          <w:lang w:val="en-GB"/>
        </w:rPr>
      </w:pPr>
      <w:r w:rsidRPr="001C21DC">
        <w:rPr>
          <w:b/>
          <w:lang w:val="en-GB"/>
        </w:rPr>
        <w:t>VRIC</w:t>
      </w:r>
      <w:r w:rsidRPr="001C21DC">
        <w:rPr>
          <w:lang w:val="en-GB"/>
        </w:rPr>
        <w:t xml:space="preserve"> - Victim Recovery and Identification Commission</w:t>
      </w:r>
    </w:p>
    <w:p w:rsidR="00262B44" w:rsidRPr="005C3CD5" w:rsidRDefault="00F52A7B" w:rsidP="009B768B">
      <w:pPr>
        <w:autoSpaceDE w:val="0"/>
        <w:jc w:val="both"/>
        <w:rPr>
          <w:lang w:val="en-GB"/>
        </w:rPr>
      </w:pPr>
      <w:r w:rsidRPr="001C21DC">
        <w:rPr>
          <w:b/>
          <w:lang w:val="en-GB"/>
        </w:rPr>
        <w:t xml:space="preserve">WCIU </w:t>
      </w:r>
      <w:r w:rsidRPr="001C21DC">
        <w:rPr>
          <w:lang w:val="en-GB"/>
        </w:rPr>
        <w:t>- War Crimes Investigation Unit</w:t>
      </w:r>
    </w:p>
    <w:sectPr w:rsidR="00262B44" w:rsidRPr="005C3CD5" w:rsidSect="003F53A4">
      <w:headerReference w:type="default" r:id="rId11"/>
      <w:pgSz w:w="12240" w:h="15840"/>
      <w:pgMar w:top="709" w:right="14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C6" w:rsidRDefault="00C21FC6">
      <w:r>
        <w:separator/>
      </w:r>
    </w:p>
  </w:endnote>
  <w:endnote w:type="continuationSeparator" w:id="0">
    <w:p w:rsidR="00C21FC6" w:rsidRDefault="00C2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C6" w:rsidRDefault="00C21FC6">
      <w:r>
        <w:separator/>
      </w:r>
    </w:p>
  </w:footnote>
  <w:footnote w:type="continuationSeparator" w:id="0">
    <w:p w:rsidR="00C21FC6" w:rsidRDefault="00C21FC6">
      <w:r>
        <w:continuationSeparator/>
      </w:r>
    </w:p>
  </w:footnote>
  <w:footnote w:id="1">
    <w:p w:rsidR="003E55C2" w:rsidRPr="00781253" w:rsidRDefault="003E55C2" w:rsidP="00DE64DC">
      <w:pPr>
        <w:pStyle w:val="FootnoteText"/>
        <w:rPr>
          <w:rFonts w:ascii="Times New Roman" w:hAnsi="Times New Roman"/>
          <w:sz w:val="18"/>
          <w:szCs w:val="18"/>
          <w:lang w:val="en-US"/>
        </w:rPr>
      </w:pPr>
      <w:r w:rsidRPr="00781253">
        <w:rPr>
          <w:rStyle w:val="FootnoteReference"/>
          <w:rFonts w:ascii="Times New Roman" w:hAnsi="Times New Roman"/>
          <w:sz w:val="18"/>
          <w:szCs w:val="18"/>
        </w:rPr>
        <w:footnoteRef/>
      </w:r>
      <w:r w:rsidRPr="00781253">
        <w:rPr>
          <w:rFonts w:ascii="Times New Roman" w:hAnsi="Times New Roman"/>
          <w:sz w:val="18"/>
          <w:szCs w:val="18"/>
        </w:rPr>
        <w:t>A list of abbreviations and acronyms contained in the text can be found in the attached Annex.</w:t>
      </w:r>
    </w:p>
  </w:footnote>
  <w:footnote w:id="2">
    <w:p w:rsidR="003E55C2" w:rsidRPr="00B8654E" w:rsidRDefault="003E55C2" w:rsidP="00680EF0">
      <w:pPr>
        <w:pStyle w:val="FootnoteText"/>
        <w:jc w:val="both"/>
        <w:rPr>
          <w:rFonts w:ascii="Times New Roman" w:hAnsi="Times New Roman"/>
          <w:sz w:val="18"/>
          <w:szCs w:val="18"/>
        </w:rPr>
      </w:pPr>
      <w:r w:rsidRPr="00B8654E">
        <w:rPr>
          <w:rStyle w:val="FootnoteReference"/>
          <w:rFonts w:ascii="Times New Roman" w:hAnsi="Times New Roman"/>
          <w:sz w:val="18"/>
          <w:szCs w:val="18"/>
        </w:rPr>
        <w:footnoteRef/>
      </w:r>
      <w:r w:rsidRPr="00B8654E">
        <w:rPr>
          <w:rFonts w:ascii="Times New Roman" w:hAnsi="Times New Roman"/>
          <w:sz w:val="18"/>
          <w:szCs w:val="18"/>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B8654E">
        <w:rPr>
          <w:rFonts w:ascii="Times New Roman" w:hAnsi="Times New Roman"/>
          <w:i/>
          <w:sz w:val="18"/>
          <w:szCs w:val="18"/>
        </w:rPr>
        <w:t xml:space="preserve"> Behrami and Behrami v. France</w:t>
      </w:r>
      <w:r w:rsidRPr="00B8654E">
        <w:rPr>
          <w:rFonts w:ascii="Times New Roman" w:hAnsi="Times New Roman"/>
          <w:sz w:val="18"/>
          <w:szCs w:val="18"/>
        </w:rPr>
        <w:t xml:space="preserve"> and </w:t>
      </w:r>
      <w:r w:rsidRPr="00B8654E">
        <w:rPr>
          <w:rFonts w:ascii="Times New Roman" w:hAnsi="Times New Roman"/>
          <w:i/>
          <w:sz w:val="18"/>
          <w:szCs w:val="18"/>
        </w:rPr>
        <w:t>Saramati v. France, Germany and Norway</w:t>
      </w:r>
      <w:r w:rsidRPr="00B8654E">
        <w:rPr>
          <w:rFonts w:ascii="Times New Roman" w:hAnsi="Times New Roman"/>
          <w:sz w:val="18"/>
          <w:szCs w:val="18"/>
        </w:rPr>
        <w:t xml:space="preserve">, nos. </w:t>
      </w:r>
      <w:r w:rsidRPr="00B8654E">
        <w:rPr>
          <w:rStyle w:val="sb8d990e2"/>
          <w:rFonts w:ascii="Times New Roman" w:hAnsi="Times New Roman"/>
          <w:sz w:val="18"/>
          <w:szCs w:val="18"/>
        </w:rPr>
        <w:t>71412/01 and</w:t>
      </w:r>
      <w:r w:rsidRPr="00B8654E">
        <w:rPr>
          <w:rFonts w:ascii="Times New Roman" w:hAnsi="Times New Roman"/>
          <w:sz w:val="18"/>
          <w:szCs w:val="18"/>
        </w:rPr>
        <w:t xml:space="preserve"> </w:t>
      </w:r>
      <w:r w:rsidRPr="00B8654E">
        <w:rPr>
          <w:rStyle w:val="sb8d990e2"/>
          <w:rFonts w:ascii="Times New Roman" w:hAnsi="Times New Roman"/>
          <w:sz w:val="18"/>
          <w:szCs w:val="18"/>
        </w:rPr>
        <w:t xml:space="preserve">78166/01, </w:t>
      </w:r>
      <w:r w:rsidRPr="00B8654E">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B8654E">
          <w:rPr>
            <w:rStyle w:val="Hyperlink"/>
            <w:rFonts w:ascii="Times New Roman" w:hAnsi="Times New Roman"/>
            <w:color w:val="auto"/>
            <w:sz w:val="18"/>
            <w:szCs w:val="18"/>
          </w:rPr>
          <w:t>www.unhchr.org</w:t>
        </w:r>
      </w:hyperlink>
      <w:r w:rsidRPr="00B8654E">
        <w:rPr>
          <w:rFonts w:ascii="Times New Roman" w:hAnsi="Times New Roman"/>
          <w:sz w:val="18"/>
          <w:szCs w:val="18"/>
        </w:rPr>
        <w:t xml:space="preserve">) and by the International Committee of the Red Cross (available at </w:t>
      </w:r>
      <w:hyperlink r:id="rId2" w:history="1">
        <w:r w:rsidRPr="00B8654E">
          <w:rPr>
            <w:rStyle w:val="Hyperlink"/>
            <w:rFonts w:ascii="Times New Roman" w:hAnsi="Times New Roman"/>
            <w:color w:val="auto"/>
            <w:sz w:val="18"/>
            <w:szCs w:val="18"/>
          </w:rPr>
          <w:t>http://familylinks.icrc.org/kosovo/en</w:t>
        </w:r>
      </w:hyperlink>
      <w:r w:rsidRPr="00B8654E">
        <w:rPr>
          <w:rFonts w:ascii="Times New Roman" w:hAnsi="Times New Roman"/>
          <w:sz w:val="18"/>
          <w:szCs w:val="18"/>
        </w:rPr>
        <w:t>).</w:t>
      </w:r>
    </w:p>
  </w:footnote>
  <w:footnote w:id="3">
    <w:p w:rsidR="003E55C2" w:rsidRPr="00B8654E" w:rsidRDefault="003E55C2">
      <w:pPr>
        <w:pStyle w:val="FootnoteText"/>
        <w:rPr>
          <w:rFonts w:ascii="Times New Roman" w:hAnsi="Times New Roman"/>
          <w:sz w:val="18"/>
          <w:szCs w:val="18"/>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The OMPF database is not open to public. The Panel accessed it with regard to this case on 24 June 2014.</w:t>
      </w:r>
    </w:p>
  </w:footnote>
  <w:footnote w:id="4">
    <w:p w:rsidR="003E55C2" w:rsidRPr="00E14B3D" w:rsidRDefault="003E55C2">
      <w:pPr>
        <w:pStyle w:val="FootnoteText"/>
        <w:rPr>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 xml:space="preserve">The ICMP database is available at:  </w:t>
      </w:r>
      <w:hyperlink r:id="rId3" w:history="1">
        <w:r w:rsidRPr="00B8654E">
          <w:rPr>
            <w:rStyle w:val="Hyperlink"/>
            <w:rFonts w:ascii="Times New Roman" w:hAnsi="Times New Roman"/>
            <w:color w:val="auto"/>
            <w:sz w:val="18"/>
            <w:szCs w:val="18"/>
          </w:rPr>
          <w:t>http://www.ic-mp.org/fdmsweb/index.php?w=mp_details&amp;l=en</w:t>
        </w:r>
      </w:hyperlink>
      <w:r w:rsidRPr="00B8654E">
        <w:rPr>
          <w:rFonts w:ascii="Times New Roman" w:hAnsi="Times New Roman"/>
          <w:sz w:val="18"/>
          <w:szCs w:val="18"/>
        </w:rPr>
        <w:t xml:space="preserve"> (accessed on 24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2" w:rsidRPr="000722CE" w:rsidRDefault="003E55C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2F3ABD">
      <w:rPr>
        <w:noProof/>
        <w:sz w:val="20"/>
        <w:szCs w:val="20"/>
      </w:rPr>
      <w:t>2</w:t>
    </w:r>
    <w:r w:rsidRPr="000722CE">
      <w:rPr>
        <w:sz w:val="20"/>
        <w:szCs w:val="20"/>
      </w:rPr>
      <w:fldChar w:fldCharType="end"/>
    </w:r>
  </w:p>
  <w:p w:rsidR="003E55C2" w:rsidRDefault="003E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29A"/>
    <w:multiLevelType w:val="hybridMultilevel"/>
    <w:tmpl w:val="DCE4C44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3841526C"/>
    <w:multiLevelType w:val="hybridMultilevel"/>
    <w:tmpl w:val="D020DF1C"/>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D6206"/>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B73578"/>
    <w:multiLevelType w:val="hybridMultilevel"/>
    <w:tmpl w:val="DD1C2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16503F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67329"/>
    <w:multiLevelType w:val="hybridMultilevel"/>
    <w:tmpl w:val="8CD2EF9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F34218"/>
    <w:multiLevelType w:val="hybridMultilevel"/>
    <w:tmpl w:val="BF3AC8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613EB1"/>
    <w:multiLevelType w:val="hybridMultilevel"/>
    <w:tmpl w:val="CE5AF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6D0A8C"/>
    <w:multiLevelType w:val="hybridMultilevel"/>
    <w:tmpl w:val="BDDE804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522A9B86"/>
    <w:lvl w:ilvl="0" w:tplc="D3AE333E">
      <w:start w:val="1"/>
      <w:numFmt w:val="decimal"/>
      <w:lvlText w:val="%1."/>
      <w:lvlJc w:val="left"/>
      <w:pPr>
        <w:tabs>
          <w:tab w:val="num" w:pos="360"/>
        </w:tabs>
        <w:ind w:left="360" w:hanging="360"/>
      </w:pPr>
      <w:rPr>
        <w:rFonts w:hint="default"/>
        <w:b w:val="0"/>
        <w:i w:val="0"/>
        <w:color w:val="auto"/>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9"/>
  </w:num>
  <w:num w:numId="6">
    <w:abstractNumId w:val="2"/>
  </w:num>
  <w:num w:numId="7">
    <w:abstractNumId w:val="7"/>
  </w:num>
  <w:num w:numId="8">
    <w:abstractNumId w:val="12"/>
  </w:num>
  <w:num w:numId="9">
    <w:abstractNumId w:val="13"/>
  </w:num>
  <w:num w:numId="10">
    <w:abstractNumId w:val="3"/>
  </w:num>
  <w:num w:numId="11">
    <w:abstractNumId w:val="11"/>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633A"/>
    <w:rsid w:val="00011260"/>
    <w:rsid w:val="00012BBB"/>
    <w:rsid w:val="0001588C"/>
    <w:rsid w:val="00015F82"/>
    <w:rsid w:val="00016F47"/>
    <w:rsid w:val="000175F5"/>
    <w:rsid w:val="000209DC"/>
    <w:rsid w:val="00025BD8"/>
    <w:rsid w:val="00025D67"/>
    <w:rsid w:val="00025DC5"/>
    <w:rsid w:val="00026A70"/>
    <w:rsid w:val="000300C8"/>
    <w:rsid w:val="00032C86"/>
    <w:rsid w:val="00033882"/>
    <w:rsid w:val="00037634"/>
    <w:rsid w:val="00041BF4"/>
    <w:rsid w:val="000446AC"/>
    <w:rsid w:val="00044BE8"/>
    <w:rsid w:val="00054459"/>
    <w:rsid w:val="000548DC"/>
    <w:rsid w:val="000565C8"/>
    <w:rsid w:val="00056605"/>
    <w:rsid w:val="00056AA9"/>
    <w:rsid w:val="00057ACD"/>
    <w:rsid w:val="00057B23"/>
    <w:rsid w:val="00060474"/>
    <w:rsid w:val="00060C31"/>
    <w:rsid w:val="000618F1"/>
    <w:rsid w:val="00063A91"/>
    <w:rsid w:val="00064CF9"/>
    <w:rsid w:val="00064E34"/>
    <w:rsid w:val="00065D31"/>
    <w:rsid w:val="0006762B"/>
    <w:rsid w:val="000722CE"/>
    <w:rsid w:val="00073F8C"/>
    <w:rsid w:val="00075D74"/>
    <w:rsid w:val="00075FC9"/>
    <w:rsid w:val="00077145"/>
    <w:rsid w:val="00077DE9"/>
    <w:rsid w:val="0008098F"/>
    <w:rsid w:val="00082345"/>
    <w:rsid w:val="000833C8"/>
    <w:rsid w:val="000841CF"/>
    <w:rsid w:val="000875E1"/>
    <w:rsid w:val="00091D61"/>
    <w:rsid w:val="0009345C"/>
    <w:rsid w:val="00094FA3"/>
    <w:rsid w:val="000958B3"/>
    <w:rsid w:val="00095A40"/>
    <w:rsid w:val="000A1586"/>
    <w:rsid w:val="000A233E"/>
    <w:rsid w:val="000A25B5"/>
    <w:rsid w:val="000A4C40"/>
    <w:rsid w:val="000A622E"/>
    <w:rsid w:val="000A7439"/>
    <w:rsid w:val="000B133A"/>
    <w:rsid w:val="000B139B"/>
    <w:rsid w:val="000B46F6"/>
    <w:rsid w:val="000B51F2"/>
    <w:rsid w:val="000B5C31"/>
    <w:rsid w:val="000C1B61"/>
    <w:rsid w:val="000C483D"/>
    <w:rsid w:val="000C7592"/>
    <w:rsid w:val="000C7B8E"/>
    <w:rsid w:val="000D03C4"/>
    <w:rsid w:val="000D0543"/>
    <w:rsid w:val="000D0B3B"/>
    <w:rsid w:val="000D1606"/>
    <w:rsid w:val="000D3999"/>
    <w:rsid w:val="000D3CCD"/>
    <w:rsid w:val="000D4303"/>
    <w:rsid w:val="000D59E7"/>
    <w:rsid w:val="000D5BCF"/>
    <w:rsid w:val="000E12A4"/>
    <w:rsid w:val="000E23B6"/>
    <w:rsid w:val="000E2936"/>
    <w:rsid w:val="000E2A2A"/>
    <w:rsid w:val="000E59FE"/>
    <w:rsid w:val="000F5F92"/>
    <w:rsid w:val="000F668F"/>
    <w:rsid w:val="000F6E16"/>
    <w:rsid w:val="000F73A0"/>
    <w:rsid w:val="000F74E5"/>
    <w:rsid w:val="000F7E70"/>
    <w:rsid w:val="001003BC"/>
    <w:rsid w:val="0010071F"/>
    <w:rsid w:val="001018B0"/>
    <w:rsid w:val="00102BB7"/>
    <w:rsid w:val="00104E19"/>
    <w:rsid w:val="001109DE"/>
    <w:rsid w:val="00111B60"/>
    <w:rsid w:val="00112756"/>
    <w:rsid w:val="00113CF2"/>
    <w:rsid w:val="0011549D"/>
    <w:rsid w:val="001155AC"/>
    <w:rsid w:val="001160B3"/>
    <w:rsid w:val="0011687A"/>
    <w:rsid w:val="00117054"/>
    <w:rsid w:val="001207D8"/>
    <w:rsid w:val="00123668"/>
    <w:rsid w:val="001279D7"/>
    <w:rsid w:val="00133592"/>
    <w:rsid w:val="001348AA"/>
    <w:rsid w:val="00134D3E"/>
    <w:rsid w:val="001350FB"/>
    <w:rsid w:val="001403C2"/>
    <w:rsid w:val="00140481"/>
    <w:rsid w:val="0014048A"/>
    <w:rsid w:val="00141EB8"/>
    <w:rsid w:val="0014335B"/>
    <w:rsid w:val="001449C9"/>
    <w:rsid w:val="0014568C"/>
    <w:rsid w:val="00147F25"/>
    <w:rsid w:val="00150015"/>
    <w:rsid w:val="001512A5"/>
    <w:rsid w:val="001521F4"/>
    <w:rsid w:val="0015275F"/>
    <w:rsid w:val="001530BE"/>
    <w:rsid w:val="00153694"/>
    <w:rsid w:val="00154325"/>
    <w:rsid w:val="00154829"/>
    <w:rsid w:val="00154E5E"/>
    <w:rsid w:val="00160353"/>
    <w:rsid w:val="0016154E"/>
    <w:rsid w:val="001642C0"/>
    <w:rsid w:val="00164407"/>
    <w:rsid w:val="001656DC"/>
    <w:rsid w:val="00165A6E"/>
    <w:rsid w:val="0016631D"/>
    <w:rsid w:val="00171368"/>
    <w:rsid w:val="001727C1"/>
    <w:rsid w:val="00172B14"/>
    <w:rsid w:val="00173F75"/>
    <w:rsid w:val="00180643"/>
    <w:rsid w:val="0018120C"/>
    <w:rsid w:val="0018424E"/>
    <w:rsid w:val="00184384"/>
    <w:rsid w:val="001852D9"/>
    <w:rsid w:val="00190271"/>
    <w:rsid w:val="00192BDB"/>
    <w:rsid w:val="00194191"/>
    <w:rsid w:val="00194800"/>
    <w:rsid w:val="00194D93"/>
    <w:rsid w:val="00195B8E"/>
    <w:rsid w:val="0019795E"/>
    <w:rsid w:val="00197979"/>
    <w:rsid w:val="001A08B0"/>
    <w:rsid w:val="001A0B5E"/>
    <w:rsid w:val="001A57F8"/>
    <w:rsid w:val="001A5F6B"/>
    <w:rsid w:val="001A6816"/>
    <w:rsid w:val="001A6C6F"/>
    <w:rsid w:val="001B155D"/>
    <w:rsid w:val="001B1A1A"/>
    <w:rsid w:val="001B241F"/>
    <w:rsid w:val="001B44B7"/>
    <w:rsid w:val="001B4620"/>
    <w:rsid w:val="001B4F35"/>
    <w:rsid w:val="001B50FB"/>
    <w:rsid w:val="001B63EB"/>
    <w:rsid w:val="001B7E46"/>
    <w:rsid w:val="001C0F0F"/>
    <w:rsid w:val="001C21DC"/>
    <w:rsid w:val="001C2229"/>
    <w:rsid w:val="001C238F"/>
    <w:rsid w:val="001C6555"/>
    <w:rsid w:val="001C74AE"/>
    <w:rsid w:val="001D2C42"/>
    <w:rsid w:val="001D311B"/>
    <w:rsid w:val="001D45F5"/>
    <w:rsid w:val="001D4A00"/>
    <w:rsid w:val="001D5261"/>
    <w:rsid w:val="001D5F2F"/>
    <w:rsid w:val="001D6CAC"/>
    <w:rsid w:val="001D73A9"/>
    <w:rsid w:val="001D7A5D"/>
    <w:rsid w:val="001E0D8A"/>
    <w:rsid w:val="001E2A7D"/>
    <w:rsid w:val="001E2DC6"/>
    <w:rsid w:val="001E3D4F"/>
    <w:rsid w:val="001E40A0"/>
    <w:rsid w:val="001E5241"/>
    <w:rsid w:val="001E5F6A"/>
    <w:rsid w:val="001E6809"/>
    <w:rsid w:val="001E69F5"/>
    <w:rsid w:val="001F1FF3"/>
    <w:rsid w:val="001F27D0"/>
    <w:rsid w:val="001F36C9"/>
    <w:rsid w:val="001F49C4"/>
    <w:rsid w:val="001F57F0"/>
    <w:rsid w:val="001F5E0F"/>
    <w:rsid w:val="00200DCA"/>
    <w:rsid w:val="00201CA1"/>
    <w:rsid w:val="00201CB5"/>
    <w:rsid w:val="00202598"/>
    <w:rsid w:val="00203109"/>
    <w:rsid w:val="00203FF4"/>
    <w:rsid w:val="00205144"/>
    <w:rsid w:val="002074D2"/>
    <w:rsid w:val="00207EF6"/>
    <w:rsid w:val="00210C45"/>
    <w:rsid w:val="00210E95"/>
    <w:rsid w:val="00211389"/>
    <w:rsid w:val="002119C2"/>
    <w:rsid w:val="002132AA"/>
    <w:rsid w:val="00215EA8"/>
    <w:rsid w:val="002160F7"/>
    <w:rsid w:val="002204EB"/>
    <w:rsid w:val="0022091B"/>
    <w:rsid w:val="00222D2F"/>
    <w:rsid w:val="00225BAB"/>
    <w:rsid w:val="002274C0"/>
    <w:rsid w:val="00231EE6"/>
    <w:rsid w:val="0023308F"/>
    <w:rsid w:val="0023537F"/>
    <w:rsid w:val="00235BD2"/>
    <w:rsid w:val="002360DA"/>
    <w:rsid w:val="002443C3"/>
    <w:rsid w:val="002473B8"/>
    <w:rsid w:val="00250C69"/>
    <w:rsid w:val="00251A79"/>
    <w:rsid w:val="002524AF"/>
    <w:rsid w:val="00252B9E"/>
    <w:rsid w:val="0025400A"/>
    <w:rsid w:val="00254B88"/>
    <w:rsid w:val="002552B6"/>
    <w:rsid w:val="00260A16"/>
    <w:rsid w:val="002624D6"/>
    <w:rsid w:val="00262A2F"/>
    <w:rsid w:val="00262B44"/>
    <w:rsid w:val="002635FF"/>
    <w:rsid w:val="002664D3"/>
    <w:rsid w:val="00267300"/>
    <w:rsid w:val="002676F9"/>
    <w:rsid w:val="002679CB"/>
    <w:rsid w:val="00271163"/>
    <w:rsid w:val="0027204F"/>
    <w:rsid w:val="002735BE"/>
    <w:rsid w:val="002745CF"/>
    <w:rsid w:val="00274A7F"/>
    <w:rsid w:val="002758B9"/>
    <w:rsid w:val="00276E5E"/>
    <w:rsid w:val="002816FF"/>
    <w:rsid w:val="00281FB3"/>
    <w:rsid w:val="00287CA7"/>
    <w:rsid w:val="00291D60"/>
    <w:rsid w:val="00294415"/>
    <w:rsid w:val="00294B12"/>
    <w:rsid w:val="00294E08"/>
    <w:rsid w:val="00296C0B"/>
    <w:rsid w:val="00296DF3"/>
    <w:rsid w:val="002A18D6"/>
    <w:rsid w:val="002B26D6"/>
    <w:rsid w:val="002B4F4E"/>
    <w:rsid w:val="002B6427"/>
    <w:rsid w:val="002C03BD"/>
    <w:rsid w:val="002C1720"/>
    <w:rsid w:val="002C1C5F"/>
    <w:rsid w:val="002C242B"/>
    <w:rsid w:val="002C656A"/>
    <w:rsid w:val="002C6D03"/>
    <w:rsid w:val="002D32F3"/>
    <w:rsid w:val="002D3F72"/>
    <w:rsid w:val="002D5DD4"/>
    <w:rsid w:val="002E02C5"/>
    <w:rsid w:val="002E15BB"/>
    <w:rsid w:val="002E2507"/>
    <w:rsid w:val="002F1033"/>
    <w:rsid w:val="002F2BDB"/>
    <w:rsid w:val="002F2D96"/>
    <w:rsid w:val="002F3ABD"/>
    <w:rsid w:val="002F42C3"/>
    <w:rsid w:val="002F46FC"/>
    <w:rsid w:val="002F6869"/>
    <w:rsid w:val="00304D18"/>
    <w:rsid w:val="00304EBA"/>
    <w:rsid w:val="00310F91"/>
    <w:rsid w:val="00312441"/>
    <w:rsid w:val="00314561"/>
    <w:rsid w:val="0031462D"/>
    <w:rsid w:val="00315125"/>
    <w:rsid w:val="00316A34"/>
    <w:rsid w:val="00323223"/>
    <w:rsid w:val="00323433"/>
    <w:rsid w:val="00326663"/>
    <w:rsid w:val="003306C0"/>
    <w:rsid w:val="003324DB"/>
    <w:rsid w:val="00332682"/>
    <w:rsid w:val="003337EF"/>
    <w:rsid w:val="00333CD6"/>
    <w:rsid w:val="00336AFB"/>
    <w:rsid w:val="00337F92"/>
    <w:rsid w:val="00341007"/>
    <w:rsid w:val="003456E7"/>
    <w:rsid w:val="003461BE"/>
    <w:rsid w:val="003472C6"/>
    <w:rsid w:val="00347A90"/>
    <w:rsid w:val="00347B71"/>
    <w:rsid w:val="00350C81"/>
    <w:rsid w:val="00351024"/>
    <w:rsid w:val="00351324"/>
    <w:rsid w:val="00351429"/>
    <w:rsid w:val="0035267D"/>
    <w:rsid w:val="0035305F"/>
    <w:rsid w:val="003541D2"/>
    <w:rsid w:val="00354676"/>
    <w:rsid w:val="0035788B"/>
    <w:rsid w:val="00361768"/>
    <w:rsid w:val="003618D3"/>
    <w:rsid w:val="00361F4D"/>
    <w:rsid w:val="003653FA"/>
    <w:rsid w:val="003657D8"/>
    <w:rsid w:val="003663CE"/>
    <w:rsid w:val="003710CF"/>
    <w:rsid w:val="00372A92"/>
    <w:rsid w:val="003733F1"/>
    <w:rsid w:val="0037385F"/>
    <w:rsid w:val="00374546"/>
    <w:rsid w:val="003778B8"/>
    <w:rsid w:val="003809B1"/>
    <w:rsid w:val="00382A94"/>
    <w:rsid w:val="00383E9D"/>
    <w:rsid w:val="00385A0E"/>
    <w:rsid w:val="00390AE0"/>
    <w:rsid w:val="003936AC"/>
    <w:rsid w:val="00393E8D"/>
    <w:rsid w:val="00395D93"/>
    <w:rsid w:val="003A0AF8"/>
    <w:rsid w:val="003A3D9D"/>
    <w:rsid w:val="003A6A4D"/>
    <w:rsid w:val="003B0328"/>
    <w:rsid w:val="003B1C80"/>
    <w:rsid w:val="003B2010"/>
    <w:rsid w:val="003B43F3"/>
    <w:rsid w:val="003B5FD2"/>
    <w:rsid w:val="003B7650"/>
    <w:rsid w:val="003C080C"/>
    <w:rsid w:val="003C1CFF"/>
    <w:rsid w:val="003C1DDB"/>
    <w:rsid w:val="003C3BF4"/>
    <w:rsid w:val="003C6352"/>
    <w:rsid w:val="003C7511"/>
    <w:rsid w:val="003D1472"/>
    <w:rsid w:val="003D1D0C"/>
    <w:rsid w:val="003D2EB6"/>
    <w:rsid w:val="003D37E0"/>
    <w:rsid w:val="003D4ADE"/>
    <w:rsid w:val="003D5866"/>
    <w:rsid w:val="003E0A28"/>
    <w:rsid w:val="003E55C2"/>
    <w:rsid w:val="003E5FA6"/>
    <w:rsid w:val="003E64E0"/>
    <w:rsid w:val="003E6F5D"/>
    <w:rsid w:val="003E74BC"/>
    <w:rsid w:val="003F02F9"/>
    <w:rsid w:val="003F1253"/>
    <w:rsid w:val="003F1FC4"/>
    <w:rsid w:val="003F3442"/>
    <w:rsid w:val="003F48D3"/>
    <w:rsid w:val="003F53A4"/>
    <w:rsid w:val="003F54A4"/>
    <w:rsid w:val="003F5D1D"/>
    <w:rsid w:val="003F7337"/>
    <w:rsid w:val="004002B1"/>
    <w:rsid w:val="00400CED"/>
    <w:rsid w:val="00401775"/>
    <w:rsid w:val="00401FD2"/>
    <w:rsid w:val="00402699"/>
    <w:rsid w:val="00402B8F"/>
    <w:rsid w:val="00405062"/>
    <w:rsid w:val="00405334"/>
    <w:rsid w:val="0040628C"/>
    <w:rsid w:val="004202B2"/>
    <w:rsid w:val="00421106"/>
    <w:rsid w:val="00421B80"/>
    <w:rsid w:val="00423CBE"/>
    <w:rsid w:val="00427A31"/>
    <w:rsid w:val="0043016C"/>
    <w:rsid w:val="00430209"/>
    <w:rsid w:val="00434717"/>
    <w:rsid w:val="00434BB6"/>
    <w:rsid w:val="00440903"/>
    <w:rsid w:val="00440E88"/>
    <w:rsid w:val="0044246C"/>
    <w:rsid w:val="004437D1"/>
    <w:rsid w:val="0044617E"/>
    <w:rsid w:val="0045263E"/>
    <w:rsid w:val="0045296B"/>
    <w:rsid w:val="00455594"/>
    <w:rsid w:val="00456871"/>
    <w:rsid w:val="004572A3"/>
    <w:rsid w:val="00463809"/>
    <w:rsid w:val="00466967"/>
    <w:rsid w:val="00466DCF"/>
    <w:rsid w:val="00466E32"/>
    <w:rsid w:val="004714D9"/>
    <w:rsid w:val="00472580"/>
    <w:rsid w:val="00472CDF"/>
    <w:rsid w:val="00473041"/>
    <w:rsid w:val="00474504"/>
    <w:rsid w:val="0047658A"/>
    <w:rsid w:val="00476D2E"/>
    <w:rsid w:val="004812CA"/>
    <w:rsid w:val="004915E6"/>
    <w:rsid w:val="00491629"/>
    <w:rsid w:val="00491B79"/>
    <w:rsid w:val="004927F2"/>
    <w:rsid w:val="004938F7"/>
    <w:rsid w:val="00494E3A"/>
    <w:rsid w:val="00495CD7"/>
    <w:rsid w:val="004961CD"/>
    <w:rsid w:val="00497092"/>
    <w:rsid w:val="004A010F"/>
    <w:rsid w:val="004A04CF"/>
    <w:rsid w:val="004A3362"/>
    <w:rsid w:val="004A4B94"/>
    <w:rsid w:val="004A4D35"/>
    <w:rsid w:val="004A4D91"/>
    <w:rsid w:val="004A5616"/>
    <w:rsid w:val="004B095F"/>
    <w:rsid w:val="004B394B"/>
    <w:rsid w:val="004B52A2"/>
    <w:rsid w:val="004B5E0A"/>
    <w:rsid w:val="004B627D"/>
    <w:rsid w:val="004B7D5D"/>
    <w:rsid w:val="004C0211"/>
    <w:rsid w:val="004C104C"/>
    <w:rsid w:val="004C3875"/>
    <w:rsid w:val="004C541B"/>
    <w:rsid w:val="004C5F53"/>
    <w:rsid w:val="004C7167"/>
    <w:rsid w:val="004C78D2"/>
    <w:rsid w:val="004D1952"/>
    <w:rsid w:val="004D2A37"/>
    <w:rsid w:val="004D2F71"/>
    <w:rsid w:val="004D4C22"/>
    <w:rsid w:val="004D4D50"/>
    <w:rsid w:val="004D4DDE"/>
    <w:rsid w:val="004D52F6"/>
    <w:rsid w:val="004D6808"/>
    <w:rsid w:val="004E1F8C"/>
    <w:rsid w:val="004E218B"/>
    <w:rsid w:val="004E25EE"/>
    <w:rsid w:val="004E3789"/>
    <w:rsid w:val="004E6657"/>
    <w:rsid w:val="004F0CAB"/>
    <w:rsid w:val="004F71FD"/>
    <w:rsid w:val="004F750D"/>
    <w:rsid w:val="004F77C7"/>
    <w:rsid w:val="005006CB"/>
    <w:rsid w:val="005009F9"/>
    <w:rsid w:val="00502758"/>
    <w:rsid w:val="00504506"/>
    <w:rsid w:val="00505C47"/>
    <w:rsid w:val="005077B1"/>
    <w:rsid w:val="005125E2"/>
    <w:rsid w:val="00512BF7"/>
    <w:rsid w:val="00514229"/>
    <w:rsid w:val="00514F78"/>
    <w:rsid w:val="00516F75"/>
    <w:rsid w:val="00517EDA"/>
    <w:rsid w:val="00523386"/>
    <w:rsid w:val="005257F4"/>
    <w:rsid w:val="00535F04"/>
    <w:rsid w:val="00536F69"/>
    <w:rsid w:val="005376DF"/>
    <w:rsid w:val="00537784"/>
    <w:rsid w:val="005400F7"/>
    <w:rsid w:val="0054280D"/>
    <w:rsid w:val="005445C1"/>
    <w:rsid w:val="00544D9E"/>
    <w:rsid w:val="00544E5A"/>
    <w:rsid w:val="00545A64"/>
    <w:rsid w:val="005513A0"/>
    <w:rsid w:val="00551A17"/>
    <w:rsid w:val="00552913"/>
    <w:rsid w:val="005542F9"/>
    <w:rsid w:val="005551E0"/>
    <w:rsid w:val="00556182"/>
    <w:rsid w:val="00560510"/>
    <w:rsid w:val="00562343"/>
    <w:rsid w:val="0056251E"/>
    <w:rsid w:val="00562AE1"/>
    <w:rsid w:val="00562FDF"/>
    <w:rsid w:val="0056401D"/>
    <w:rsid w:val="00564624"/>
    <w:rsid w:val="00565DC7"/>
    <w:rsid w:val="005663F3"/>
    <w:rsid w:val="00566ACD"/>
    <w:rsid w:val="00570CB4"/>
    <w:rsid w:val="0057242B"/>
    <w:rsid w:val="0057242F"/>
    <w:rsid w:val="0057625F"/>
    <w:rsid w:val="00576B13"/>
    <w:rsid w:val="00576E38"/>
    <w:rsid w:val="00576E9B"/>
    <w:rsid w:val="00577877"/>
    <w:rsid w:val="00577D1C"/>
    <w:rsid w:val="005836D4"/>
    <w:rsid w:val="00584113"/>
    <w:rsid w:val="0058416D"/>
    <w:rsid w:val="00585F76"/>
    <w:rsid w:val="00586C48"/>
    <w:rsid w:val="00590868"/>
    <w:rsid w:val="00590DAC"/>
    <w:rsid w:val="005917EC"/>
    <w:rsid w:val="0059532D"/>
    <w:rsid w:val="00595E25"/>
    <w:rsid w:val="005A1063"/>
    <w:rsid w:val="005A1E72"/>
    <w:rsid w:val="005A21F6"/>
    <w:rsid w:val="005A2D17"/>
    <w:rsid w:val="005A35A3"/>
    <w:rsid w:val="005A5B3C"/>
    <w:rsid w:val="005A6E82"/>
    <w:rsid w:val="005B5EAD"/>
    <w:rsid w:val="005B6370"/>
    <w:rsid w:val="005B6DD5"/>
    <w:rsid w:val="005B73B0"/>
    <w:rsid w:val="005C110C"/>
    <w:rsid w:val="005C3CD5"/>
    <w:rsid w:val="005C4D36"/>
    <w:rsid w:val="005C51CD"/>
    <w:rsid w:val="005C65AF"/>
    <w:rsid w:val="005C78E7"/>
    <w:rsid w:val="005D10AB"/>
    <w:rsid w:val="005D12FB"/>
    <w:rsid w:val="005D2F19"/>
    <w:rsid w:val="005D359D"/>
    <w:rsid w:val="005E0E4E"/>
    <w:rsid w:val="005E361B"/>
    <w:rsid w:val="005E37C5"/>
    <w:rsid w:val="005E4930"/>
    <w:rsid w:val="005E6E2D"/>
    <w:rsid w:val="005E7C8F"/>
    <w:rsid w:val="005F341C"/>
    <w:rsid w:val="005F403B"/>
    <w:rsid w:val="005F4187"/>
    <w:rsid w:val="005F686D"/>
    <w:rsid w:val="005F6DB3"/>
    <w:rsid w:val="00603A86"/>
    <w:rsid w:val="00603D49"/>
    <w:rsid w:val="00605915"/>
    <w:rsid w:val="00606C3D"/>
    <w:rsid w:val="006111E0"/>
    <w:rsid w:val="00611411"/>
    <w:rsid w:val="006115E2"/>
    <w:rsid w:val="00612EEF"/>
    <w:rsid w:val="0061679C"/>
    <w:rsid w:val="00617352"/>
    <w:rsid w:val="006205AF"/>
    <w:rsid w:val="00620A98"/>
    <w:rsid w:val="00621EDB"/>
    <w:rsid w:val="0062454F"/>
    <w:rsid w:val="00626D00"/>
    <w:rsid w:val="00626D88"/>
    <w:rsid w:val="00627C8E"/>
    <w:rsid w:val="006366D0"/>
    <w:rsid w:val="00637299"/>
    <w:rsid w:val="00643478"/>
    <w:rsid w:val="00645FDE"/>
    <w:rsid w:val="00646CA4"/>
    <w:rsid w:val="00647569"/>
    <w:rsid w:val="00652B86"/>
    <w:rsid w:val="00653ED0"/>
    <w:rsid w:val="0065509D"/>
    <w:rsid w:val="006552EA"/>
    <w:rsid w:val="00655FA5"/>
    <w:rsid w:val="00657746"/>
    <w:rsid w:val="00661955"/>
    <w:rsid w:val="00666D9E"/>
    <w:rsid w:val="006710FD"/>
    <w:rsid w:val="006719B3"/>
    <w:rsid w:val="006727E3"/>
    <w:rsid w:val="00672EBE"/>
    <w:rsid w:val="00675587"/>
    <w:rsid w:val="00677B90"/>
    <w:rsid w:val="00680C67"/>
    <w:rsid w:val="00680EF0"/>
    <w:rsid w:val="00683067"/>
    <w:rsid w:val="00683122"/>
    <w:rsid w:val="006840D8"/>
    <w:rsid w:val="00684DAD"/>
    <w:rsid w:val="00684F40"/>
    <w:rsid w:val="0068501A"/>
    <w:rsid w:val="00687ACD"/>
    <w:rsid w:val="006918C3"/>
    <w:rsid w:val="006946F9"/>
    <w:rsid w:val="006958C0"/>
    <w:rsid w:val="00697A75"/>
    <w:rsid w:val="006A1710"/>
    <w:rsid w:val="006A6635"/>
    <w:rsid w:val="006A7C1B"/>
    <w:rsid w:val="006B052B"/>
    <w:rsid w:val="006B153E"/>
    <w:rsid w:val="006B49BF"/>
    <w:rsid w:val="006B4A0D"/>
    <w:rsid w:val="006B502F"/>
    <w:rsid w:val="006B5D21"/>
    <w:rsid w:val="006B6692"/>
    <w:rsid w:val="006B7576"/>
    <w:rsid w:val="006C155F"/>
    <w:rsid w:val="006C632F"/>
    <w:rsid w:val="006D07B3"/>
    <w:rsid w:val="006D0D42"/>
    <w:rsid w:val="006D151D"/>
    <w:rsid w:val="006D223B"/>
    <w:rsid w:val="006D36DF"/>
    <w:rsid w:val="006D3708"/>
    <w:rsid w:val="006D7360"/>
    <w:rsid w:val="006D7BF7"/>
    <w:rsid w:val="006D7EF2"/>
    <w:rsid w:val="006E0A93"/>
    <w:rsid w:val="006E22BD"/>
    <w:rsid w:val="006E2B68"/>
    <w:rsid w:val="006E3821"/>
    <w:rsid w:val="006E6458"/>
    <w:rsid w:val="006F185F"/>
    <w:rsid w:val="006F3248"/>
    <w:rsid w:val="006F3551"/>
    <w:rsid w:val="006F35D0"/>
    <w:rsid w:val="006F35F6"/>
    <w:rsid w:val="006F38CB"/>
    <w:rsid w:val="006F4F29"/>
    <w:rsid w:val="0070174C"/>
    <w:rsid w:val="00701BF3"/>
    <w:rsid w:val="00702500"/>
    <w:rsid w:val="00703CEB"/>
    <w:rsid w:val="007047D9"/>
    <w:rsid w:val="007113B1"/>
    <w:rsid w:val="00712081"/>
    <w:rsid w:val="00712F51"/>
    <w:rsid w:val="00713389"/>
    <w:rsid w:val="00717451"/>
    <w:rsid w:val="00717EFD"/>
    <w:rsid w:val="007226EA"/>
    <w:rsid w:val="0072411F"/>
    <w:rsid w:val="00724F0F"/>
    <w:rsid w:val="007262D2"/>
    <w:rsid w:val="007268E7"/>
    <w:rsid w:val="007270F4"/>
    <w:rsid w:val="007300A8"/>
    <w:rsid w:val="00730189"/>
    <w:rsid w:val="007308F9"/>
    <w:rsid w:val="00734B20"/>
    <w:rsid w:val="00734EDB"/>
    <w:rsid w:val="00735744"/>
    <w:rsid w:val="00741C36"/>
    <w:rsid w:val="007421B8"/>
    <w:rsid w:val="00745771"/>
    <w:rsid w:val="0075283E"/>
    <w:rsid w:val="00752CBA"/>
    <w:rsid w:val="00752CDF"/>
    <w:rsid w:val="0075317B"/>
    <w:rsid w:val="00754113"/>
    <w:rsid w:val="007551D8"/>
    <w:rsid w:val="00761838"/>
    <w:rsid w:val="0076188F"/>
    <w:rsid w:val="00762782"/>
    <w:rsid w:val="007645ED"/>
    <w:rsid w:val="0076572E"/>
    <w:rsid w:val="00767CBA"/>
    <w:rsid w:val="0077155C"/>
    <w:rsid w:val="00773988"/>
    <w:rsid w:val="00780319"/>
    <w:rsid w:val="007805BB"/>
    <w:rsid w:val="00781253"/>
    <w:rsid w:val="007815A6"/>
    <w:rsid w:val="00781C73"/>
    <w:rsid w:val="00784973"/>
    <w:rsid w:val="00784C56"/>
    <w:rsid w:val="00784E54"/>
    <w:rsid w:val="00785097"/>
    <w:rsid w:val="007864F7"/>
    <w:rsid w:val="007873D8"/>
    <w:rsid w:val="00791F1B"/>
    <w:rsid w:val="00792369"/>
    <w:rsid w:val="0079389C"/>
    <w:rsid w:val="00795BB4"/>
    <w:rsid w:val="00796533"/>
    <w:rsid w:val="00797093"/>
    <w:rsid w:val="007A4CC9"/>
    <w:rsid w:val="007A510C"/>
    <w:rsid w:val="007A59FF"/>
    <w:rsid w:val="007A6603"/>
    <w:rsid w:val="007A6FCD"/>
    <w:rsid w:val="007B03A4"/>
    <w:rsid w:val="007B087A"/>
    <w:rsid w:val="007B1A13"/>
    <w:rsid w:val="007B711B"/>
    <w:rsid w:val="007C02C1"/>
    <w:rsid w:val="007C1589"/>
    <w:rsid w:val="007C2D8F"/>
    <w:rsid w:val="007C2F12"/>
    <w:rsid w:val="007C3662"/>
    <w:rsid w:val="007C36B5"/>
    <w:rsid w:val="007C49D1"/>
    <w:rsid w:val="007C65E0"/>
    <w:rsid w:val="007C7932"/>
    <w:rsid w:val="007D0F2F"/>
    <w:rsid w:val="007D7B0F"/>
    <w:rsid w:val="007E1ECA"/>
    <w:rsid w:val="007E2E9C"/>
    <w:rsid w:val="007E3BAA"/>
    <w:rsid w:val="007E4F9A"/>
    <w:rsid w:val="007E6371"/>
    <w:rsid w:val="007F093F"/>
    <w:rsid w:val="007F120F"/>
    <w:rsid w:val="007F1851"/>
    <w:rsid w:val="007F1AD8"/>
    <w:rsid w:val="007F3811"/>
    <w:rsid w:val="007F5C0F"/>
    <w:rsid w:val="007F6002"/>
    <w:rsid w:val="007F656B"/>
    <w:rsid w:val="007F7030"/>
    <w:rsid w:val="007F758E"/>
    <w:rsid w:val="008025EF"/>
    <w:rsid w:val="0080739D"/>
    <w:rsid w:val="00807460"/>
    <w:rsid w:val="00810AF7"/>
    <w:rsid w:val="008113E6"/>
    <w:rsid w:val="00814B70"/>
    <w:rsid w:val="008151F0"/>
    <w:rsid w:val="00815867"/>
    <w:rsid w:val="008163AC"/>
    <w:rsid w:val="00816608"/>
    <w:rsid w:val="00816B3B"/>
    <w:rsid w:val="00816B4C"/>
    <w:rsid w:val="00816D2E"/>
    <w:rsid w:val="00823B43"/>
    <w:rsid w:val="00825759"/>
    <w:rsid w:val="00825E0B"/>
    <w:rsid w:val="00831692"/>
    <w:rsid w:val="00831702"/>
    <w:rsid w:val="00831AA2"/>
    <w:rsid w:val="00834F5B"/>
    <w:rsid w:val="00835AE5"/>
    <w:rsid w:val="008361ED"/>
    <w:rsid w:val="0083635A"/>
    <w:rsid w:val="0084147D"/>
    <w:rsid w:val="00842813"/>
    <w:rsid w:val="0084722B"/>
    <w:rsid w:val="00850866"/>
    <w:rsid w:val="00851DA7"/>
    <w:rsid w:val="008526F1"/>
    <w:rsid w:val="00853B40"/>
    <w:rsid w:val="0086268D"/>
    <w:rsid w:val="0086321C"/>
    <w:rsid w:val="008632FA"/>
    <w:rsid w:val="008637CF"/>
    <w:rsid w:val="0086511C"/>
    <w:rsid w:val="00866C38"/>
    <w:rsid w:val="0087266C"/>
    <w:rsid w:val="008726F1"/>
    <w:rsid w:val="00872E4B"/>
    <w:rsid w:val="00873573"/>
    <w:rsid w:val="0087511F"/>
    <w:rsid w:val="00875E71"/>
    <w:rsid w:val="00876521"/>
    <w:rsid w:val="008766C9"/>
    <w:rsid w:val="0088164D"/>
    <w:rsid w:val="00882D6D"/>
    <w:rsid w:val="00884825"/>
    <w:rsid w:val="00884C82"/>
    <w:rsid w:val="00885816"/>
    <w:rsid w:val="00887FE3"/>
    <w:rsid w:val="008917D7"/>
    <w:rsid w:val="0089240E"/>
    <w:rsid w:val="00893462"/>
    <w:rsid w:val="008940D8"/>
    <w:rsid w:val="00896458"/>
    <w:rsid w:val="00896D39"/>
    <w:rsid w:val="008978E2"/>
    <w:rsid w:val="00897911"/>
    <w:rsid w:val="00897D54"/>
    <w:rsid w:val="00897F94"/>
    <w:rsid w:val="008A384F"/>
    <w:rsid w:val="008A3876"/>
    <w:rsid w:val="008A590C"/>
    <w:rsid w:val="008B099A"/>
    <w:rsid w:val="008B3F0E"/>
    <w:rsid w:val="008B504E"/>
    <w:rsid w:val="008B53F6"/>
    <w:rsid w:val="008B6B8A"/>
    <w:rsid w:val="008B7A73"/>
    <w:rsid w:val="008C06A6"/>
    <w:rsid w:val="008C2153"/>
    <w:rsid w:val="008C2986"/>
    <w:rsid w:val="008C4C37"/>
    <w:rsid w:val="008C61C8"/>
    <w:rsid w:val="008D0160"/>
    <w:rsid w:val="008D136A"/>
    <w:rsid w:val="008D3411"/>
    <w:rsid w:val="008D3755"/>
    <w:rsid w:val="008D5AE3"/>
    <w:rsid w:val="008D5CBD"/>
    <w:rsid w:val="008E057A"/>
    <w:rsid w:val="008E19EC"/>
    <w:rsid w:val="008E3F48"/>
    <w:rsid w:val="008E4C8E"/>
    <w:rsid w:val="008E61A6"/>
    <w:rsid w:val="008E7019"/>
    <w:rsid w:val="008E7F4C"/>
    <w:rsid w:val="008F03DC"/>
    <w:rsid w:val="008F1730"/>
    <w:rsid w:val="008F20F3"/>
    <w:rsid w:val="008F262E"/>
    <w:rsid w:val="008F30A1"/>
    <w:rsid w:val="008F3952"/>
    <w:rsid w:val="008F4758"/>
    <w:rsid w:val="008F490D"/>
    <w:rsid w:val="00900AAF"/>
    <w:rsid w:val="0090154E"/>
    <w:rsid w:val="00901792"/>
    <w:rsid w:val="00901CE9"/>
    <w:rsid w:val="00901E52"/>
    <w:rsid w:val="009036E8"/>
    <w:rsid w:val="00903E15"/>
    <w:rsid w:val="00903EC4"/>
    <w:rsid w:val="009045A8"/>
    <w:rsid w:val="0090580D"/>
    <w:rsid w:val="00911C44"/>
    <w:rsid w:val="00911EF6"/>
    <w:rsid w:val="009145FD"/>
    <w:rsid w:val="009167AD"/>
    <w:rsid w:val="00926E66"/>
    <w:rsid w:val="00927872"/>
    <w:rsid w:val="0092797B"/>
    <w:rsid w:val="00927F0F"/>
    <w:rsid w:val="00930157"/>
    <w:rsid w:val="009315B8"/>
    <w:rsid w:val="009326F1"/>
    <w:rsid w:val="0093340F"/>
    <w:rsid w:val="00934452"/>
    <w:rsid w:val="00937791"/>
    <w:rsid w:val="00937A68"/>
    <w:rsid w:val="00940B1C"/>
    <w:rsid w:val="0094357A"/>
    <w:rsid w:val="00944C36"/>
    <w:rsid w:val="00947B68"/>
    <w:rsid w:val="00950781"/>
    <w:rsid w:val="00954241"/>
    <w:rsid w:val="00955FDE"/>
    <w:rsid w:val="0095721D"/>
    <w:rsid w:val="009572D9"/>
    <w:rsid w:val="00960C01"/>
    <w:rsid w:val="009630D5"/>
    <w:rsid w:val="0096600E"/>
    <w:rsid w:val="00970864"/>
    <w:rsid w:val="0097140F"/>
    <w:rsid w:val="0097400B"/>
    <w:rsid w:val="009749BD"/>
    <w:rsid w:val="00976363"/>
    <w:rsid w:val="009774EC"/>
    <w:rsid w:val="00977B5A"/>
    <w:rsid w:val="00980D8C"/>
    <w:rsid w:val="00981667"/>
    <w:rsid w:val="00987028"/>
    <w:rsid w:val="0098749A"/>
    <w:rsid w:val="00991C5A"/>
    <w:rsid w:val="00994207"/>
    <w:rsid w:val="00994262"/>
    <w:rsid w:val="0099493F"/>
    <w:rsid w:val="0099540F"/>
    <w:rsid w:val="00997D32"/>
    <w:rsid w:val="009A66F2"/>
    <w:rsid w:val="009B44CE"/>
    <w:rsid w:val="009B49EF"/>
    <w:rsid w:val="009B4CF8"/>
    <w:rsid w:val="009B4D35"/>
    <w:rsid w:val="009B66ED"/>
    <w:rsid w:val="009B768B"/>
    <w:rsid w:val="009B789A"/>
    <w:rsid w:val="009C0420"/>
    <w:rsid w:val="009C0B86"/>
    <w:rsid w:val="009C1927"/>
    <w:rsid w:val="009C2552"/>
    <w:rsid w:val="009C28A7"/>
    <w:rsid w:val="009C2C61"/>
    <w:rsid w:val="009C4826"/>
    <w:rsid w:val="009D04C5"/>
    <w:rsid w:val="009D0690"/>
    <w:rsid w:val="009D5130"/>
    <w:rsid w:val="009D5C9F"/>
    <w:rsid w:val="009D707F"/>
    <w:rsid w:val="009D7762"/>
    <w:rsid w:val="009D7E10"/>
    <w:rsid w:val="009E0847"/>
    <w:rsid w:val="009E1487"/>
    <w:rsid w:val="009E17E8"/>
    <w:rsid w:val="009E1CA5"/>
    <w:rsid w:val="009E5B51"/>
    <w:rsid w:val="009E7731"/>
    <w:rsid w:val="009E7E60"/>
    <w:rsid w:val="009F1974"/>
    <w:rsid w:val="009F4F4D"/>
    <w:rsid w:val="009F6CF5"/>
    <w:rsid w:val="00A0063E"/>
    <w:rsid w:val="00A05B20"/>
    <w:rsid w:val="00A05DAD"/>
    <w:rsid w:val="00A06923"/>
    <w:rsid w:val="00A07367"/>
    <w:rsid w:val="00A07DDA"/>
    <w:rsid w:val="00A10228"/>
    <w:rsid w:val="00A11EE8"/>
    <w:rsid w:val="00A11F3A"/>
    <w:rsid w:val="00A12C99"/>
    <w:rsid w:val="00A13072"/>
    <w:rsid w:val="00A152E2"/>
    <w:rsid w:val="00A16F56"/>
    <w:rsid w:val="00A17705"/>
    <w:rsid w:val="00A221B9"/>
    <w:rsid w:val="00A24033"/>
    <w:rsid w:val="00A25273"/>
    <w:rsid w:val="00A25496"/>
    <w:rsid w:val="00A273B0"/>
    <w:rsid w:val="00A30113"/>
    <w:rsid w:val="00A30137"/>
    <w:rsid w:val="00A30F7A"/>
    <w:rsid w:val="00A32181"/>
    <w:rsid w:val="00A33A4C"/>
    <w:rsid w:val="00A40F98"/>
    <w:rsid w:val="00A42AEA"/>
    <w:rsid w:val="00A43AA7"/>
    <w:rsid w:val="00A4416D"/>
    <w:rsid w:val="00A445B9"/>
    <w:rsid w:val="00A44907"/>
    <w:rsid w:val="00A465CD"/>
    <w:rsid w:val="00A51E90"/>
    <w:rsid w:val="00A51F84"/>
    <w:rsid w:val="00A5380D"/>
    <w:rsid w:val="00A547B2"/>
    <w:rsid w:val="00A549B8"/>
    <w:rsid w:val="00A560DF"/>
    <w:rsid w:val="00A6154B"/>
    <w:rsid w:val="00A673B2"/>
    <w:rsid w:val="00A67D9F"/>
    <w:rsid w:val="00A70D0F"/>
    <w:rsid w:val="00A73A2A"/>
    <w:rsid w:val="00A73D67"/>
    <w:rsid w:val="00A7702D"/>
    <w:rsid w:val="00A81714"/>
    <w:rsid w:val="00A8238B"/>
    <w:rsid w:val="00A82736"/>
    <w:rsid w:val="00A835D5"/>
    <w:rsid w:val="00A87786"/>
    <w:rsid w:val="00A914FB"/>
    <w:rsid w:val="00A926CD"/>
    <w:rsid w:val="00A954D0"/>
    <w:rsid w:val="00AA1371"/>
    <w:rsid w:val="00AA58BF"/>
    <w:rsid w:val="00AA5BE1"/>
    <w:rsid w:val="00AA6131"/>
    <w:rsid w:val="00AA784D"/>
    <w:rsid w:val="00AB1AA6"/>
    <w:rsid w:val="00AC3D09"/>
    <w:rsid w:val="00AC471A"/>
    <w:rsid w:val="00AC4B6D"/>
    <w:rsid w:val="00AC5768"/>
    <w:rsid w:val="00AC5877"/>
    <w:rsid w:val="00AC67D7"/>
    <w:rsid w:val="00AC6F8E"/>
    <w:rsid w:val="00AC77BA"/>
    <w:rsid w:val="00AD007D"/>
    <w:rsid w:val="00AD31FE"/>
    <w:rsid w:val="00AD5565"/>
    <w:rsid w:val="00AD5EFF"/>
    <w:rsid w:val="00AD5FE6"/>
    <w:rsid w:val="00AD68EF"/>
    <w:rsid w:val="00AD6A09"/>
    <w:rsid w:val="00AD7E04"/>
    <w:rsid w:val="00AE19A8"/>
    <w:rsid w:val="00AE4660"/>
    <w:rsid w:val="00AE69E9"/>
    <w:rsid w:val="00AE74CF"/>
    <w:rsid w:val="00AE78BA"/>
    <w:rsid w:val="00AF1CC4"/>
    <w:rsid w:val="00AF1E02"/>
    <w:rsid w:val="00AF457A"/>
    <w:rsid w:val="00AF51AB"/>
    <w:rsid w:val="00AF6167"/>
    <w:rsid w:val="00AF6A32"/>
    <w:rsid w:val="00AF6CCA"/>
    <w:rsid w:val="00AF73E9"/>
    <w:rsid w:val="00AF7616"/>
    <w:rsid w:val="00B015CC"/>
    <w:rsid w:val="00B02218"/>
    <w:rsid w:val="00B0658A"/>
    <w:rsid w:val="00B06DCA"/>
    <w:rsid w:val="00B07154"/>
    <w:rsid w:val="00B07C8E"/>
    <w:rsid w:val="00B07D4E"/>
    <w:rsid w:val="00B11B50"/>
    <w:rsid w:val="00B125A8"/>
    <w:rsid w:val="00B2007F"/>
    <w:rsid w:val="00B21A61"/>
    <w:rsid w:val="00B224F0"/>
    <w:rsid w:val="00B241DA"/>
    <w:rsid w:val="00B2451F"/>
    <w:rsid w:val="00B25262"/>
    <w:rsid w:val="00B255E5"/>
    <w:rsid w:val="00B25A3B"/>
    <w:rsid w:val="00B25D94"/>
    <w:rsid w:val="00B25F71"/>
    <w:rsid w:val="00B267B0"/>
    <w:rsid w:val="00B3649B"/>
    <w:rsid w:val="00B36DFC"/>
    <w:rsid w:val="00B429C5"/>
    <w:rsid w:val="00B42A58"/>
    <w:rsid w:val="00B44FCE"/>
    <w:rsid w:val="00B45F68"/>
    <w:rsid w:val="00B462E9"/>
    <w:rsid w:val="00B50600"/>
    <w:rsid w:val="00B518F7"/>
    <w:rsid w:val="00B51CF2"/>
    <w:rsid w:val="00B51D8A"/>
    <w:rsid w:val="00B53FEB"/>
    <w:rsid w:val="00B645A8"/>
    <w:rsid w:val="00B6742D"/>
    <w:rsid w:val="00B7085D"/>
    <w:rsid w:val="00B7207C"/>
    <w:rsid w:val="00B724DF"/>
    <w:rsid w:val="00B73D61"/>
    <w:rsid w:val="00B75A18"/>
    <w:rsid w:val="00B76005"/>
    <w:rsid w:val="00B80FC3"/>
    <w:rsid w:val="00B815D4"/>
    <w:rsid w:val="00B85CE4"/>
    <w:rsid w:val="00B8654E"/>
    <w:rsid w:val="00B92495"/>
    <w:rsid w:val="00BA0F5B"/>
    <w:rsid w:val="00BA2D7C"/>
    <w:rsid w:val="00BB0B51"/>
    <w:rsid w:val="00BB1081"/>
    <w:rsid w:val="00BB1738"/>
    <w:rsid w:val="00BB18A5"/>
    <w:rsid w:val="00BB6721"/>
    <w:rsid w:val="00BB6D67"/>
    <w:rsid w:val="00BC4DA7"/>
    <w:rsid w:val="00BC607D"/>
    <w:rsid w:val="00BC6CD8"/>
    <w:rsid w:val="00BD07E7"/>
    <w:rsid w:val="00BD0EF3"/>
    <w:rsid w:val="00BD28B4"/>
    <w:rsid w:val="00BD2925"/>
    <w:rsid w:val="00BD54FE"/>
    <w:rsid w:val="00BD5776"/>
    <w:rsid w:val="00BD692D"/>
    <w:rsid w:val="00BE04A3"/>
    <w:rsid w:val="00BE43F5"/>
    <w:rsid w:val="00BE4A07"/>
    <w:rsid w:val="00BE5617"/>
    <w:rsid w:val="00BE6093"/>
    <w:rsid w:val="00BE60F8"/>
    <w:rsid w:val="00BF1354"/>
    <w:rsid w:val="00BF230C"/>
    <w:rsid w:val="00BF42E7"/>
    <w:rsid w:val="00BF4A33"/>
    <w:rsid w:val="00BF7255"/>
    <w:rsid w:val="00C0000E"/>
    <w:rsid w:val="00C00C0D"/>
    <w:rsid w:val="00C0731E"/>
    <w:rsid w:val="00C1097B"/>
    <w:rsid w:val="00C127DC"/>
    <w:rsid w:val="00C1350C"/>
    <w:rsid w:val="00C13A74"/>
    <w:rsid w:val="00C14BB4"/>
    <w:rsid w:val="00C20453"/>
    <w:rsid w:val="00C21FC6"/>
    <w:rsid w:val="00C221F8"/>
    <w:rsid w:val="00C2375C"/>
    <w:rsid w:val="00C2428D"/>
    <w:rsid w:val="00C278FA"/>
    <w:rsid w:val="00C31A87"/>
    <w:rsid w:val="00C320AE"/>
    <w:rsid w:val="00C32769"/>
    <w:rsid w:val="00C376EA"/>
    <w:rsid w:val="00C41C67"/>
    <w:rsid w:val="00C44BD1"/>
    <w:rsid w:val="00C4646C"/>
    <w:rsid w:val="00C46754"/>
    <w:rsid w:val="00C47046"/>
    <w:rsid w:val="00C50E53"/>
    <w:rsid w:val="00C526FF"/>
    <w:rsid w:val="00C53711"/>
    <w:rsid w:val="00C550D7"/>
    <w:rsid w:val="00C55605"/>
    <w:rsid w:val="00C560D6"/>
    <w:rsid w:val="00C56682"/>
    <w:rsid w:val="00C60A2C"/>
    <w:rsid w:val="00C643D1"/>
    <w:rsid w:val="00C73131"/>
    <w:rsid w:val="00C734AD"/>
    <w:rsid w:val="00C7353B"/>
    <w:rsid w:val="00C75A82"/>
    <w:rsid w:val="00C75B26"/>
    <w:rsid w:val="00C75E5A"/>
    <w:rsid w:val="00C847FE"/>
    <w:rsid w:val="00C84D23"/>
    <w:rsid w:val="00C86523"/>
    <w:rsid w:val="00C905F1"/>
    <w:rsid w:val="00C90FAD"/>
    <w:rsid w:val="00C921ED"/>
    <w:rsid w:val="00C9258D"/>
    <w:rsid w:val="00C961DD"/>
    <w:rsid w:val="00C96E3C"/>
    <w:rsid w:val="00CA1155"/>
    <w:rsid w:val="00CA3E87"/>
    <w:rsid w:val="00CA646D"/>
    <w:rsid w:val="00CA6D64"/>
    <w:rsid w:val="00CA7CDD"/>
    <w:rsid w:val="00CB2DE1"/>
    <w:rsid w:val="00CB50DF"/>
    <w:rsid w:val="00CB55CD"/>
    <w:rsid w:val="00CB6545"/>
    <w:rsid w:val="00CB75D1"/>
    <w:rsid w:val="00CC186C"/>
    <w:rsid w:val="00CC223C"/>
    <w:rsid w:val="00CC2755"/>
    <w:rsid w:val="00CC5035"/>
    <w:rsid w:val="00CC51DA"/>
    <w:rsid w:val="00CC5E81"/>
    <w:rsid w:val="00CC6B19"/>
    <w:rsid w:val="00CC7B53"/>
    <w:rsid w:val="00CD2148"/>
    <w:rsid w:val="00CD3EBE"/>
    <w:rsid w:val="00CD43B3"/>
    <w:rsid w:val="00CD6D04"/>
    <w:rsid w:val="00CE030B"/>
    <w:rsid w:val="00CE1148"/>
    <w:rsid w:val="00CE2844"/>
    <w:rsid w:val="00CE355C"/>
    <w:rsid w:val="00CE4137"/>
    <w:rsid w:val="00CE5788"/>
    <w:rsid w:val="00CE737C"/>
    <w:rsid w:val="00CF17D5"/>
    <w:rsid w:val="00CF20F5"/>
    <w:rsid w:val="00CF45E9"/>
    <w:rsid w:val="00CF536A"/>
    <w:rsid w:val="00CF62EA"/>
    <w:rsid w:val="00CF7241"/>
    <w:rsid w:val="00D01AD3"/>
    <w:rsid w:val="00D02064"/>
    <w:rsid w:val="00D03633"/>
    <w:rsid w:val="00D0695D"/>
    <w:rsid w:val="00D112F1"/>
    <w:rsid w:val="00D12979"/>
    <w:rsid w:val="00D15BA1"/>
    <w:rsid w:val="00D21BB0"/>
    <w:rsid w:val="00D225E7"/>
    <w:rsid w:val="00D22EDC"/>
    <w:rsid w:val="00D23B40"/>
    <w:rsid w:val="00D23CC6"/>
    <w:rsid w:val="00D242DC"/>
    <w:rsid w:val="00D27B94"/>
    <w:rsid w:val="00D303D3"/>
    <w:rsid w:val="00D30DD4"/>
    <w:rsid w:val="00D30F4B"/>
    <w:rsid w:val="00D30FFE"/>
    <w:rsid w:val="00D33920"/>
    <w:rsid w:val="00D34351"/>
    <w:rsid w:val="00D447D2"/>
    <w:rsid w:val="00D4567F"/>
    <w:rsid w:val="00D47CF9"/>
    <w:rsid w:val="00D50A09"/>
    <w:rsid w:val="00D5239B"/>
    <w:rsid w:val="00D52A33"/>
    <w:rsid w:val="00D53783"/>
    <w:rsid w:val="00D54098"/>
    <w:rsid w:val="00D608AD"/>
    <w:rsid w:val="00D640F7"/>
    <w:rsid w:val="00D65A4F"/>
    <w:rsid w:val="00D65E11"/>
    <w:rsid w:val="00D701E0"/>
    <w:rsid w:val="00D70475"/>
    <w:rsid w:val="00D70702"/>
    <w:rsid w:val="00D7091A"/>
    <w:rsid w:val="00D74488"/>
    <w:rsid w:val="00D75560"/>
    <w:rsid w:val="00D76B47"/>
    <w:rsid w:val="00D76CDF"/>
    <w:rsid w:val="00D80D13"/>
    <w:rsid w:val="00D836DE"/>
    <w:rsid w:val="00D848CA"/>
    <w:rsid w:val="00D8534B"/>
    <w:rsid w:val="00D85B39"/>
    <w:rsid w:val="00D87DE2"/>
    <w:rsid w:val="00D972B7"/>
    <w:rsid w:val="00DA1C65"/>
    <w:rsid w:val="00DA40CA"/>
    <w:rsid w:val="00DA4E09"/>
    <w:rsid w:val="00DA6731"/>
    <w:rsid w:val="00DA770F"/>
    <w:rsid w:val="00DB0F35"/>
    <w:rsid w:val="00DB5031"/>
    <w:rsid w:val="00DB53A9"/>
    <w:rsid w:val="00DB77A0"/>
    <w:rsid w:val="00DB7B75"/>
    <w:rsid w:val="00DC138E"/>
    <w:rsid w:val="00DC25FF"/>
    <w:rsid w:val="00DC7D84"/>
    <w:rsid w:val="00DD09F1"/>
    <w:rsid w:val="00DD0CA4"/>
    <w:rsid w:val="00DD20FA"/>
    <w:rsid w:val="00DD2E5D"/>
    <w:rsid w:val="00DD4104"/>
    <w:rsid w:val="00DD5FEF"/>
    <w:rsid w:val="00DD7F16"/>
    <w:rsid w:val="00DE0DF2"/>
    <w:rsid w:val="00DE17E5"/>
    <w:rsid w:val="00DE33C3"/>
    <w:rsid w:val="00DE5F7E"/>
    <w:rsid w:val="00DE64DC"/>
    <w:rsid w:val="00DE67C5"/>
    <w:rsid w:val="00DE6C97"/>
    <w:rsid w:val="00DE6CE0"/>
    <w:rsid w:val="00DE6EDF"/>
    <w:rsid w:val="00DE7D84"/>
    <w:rsid w:val="00DF223F"/>
    <w:rsid w:val="00DF2EAB"/>
    <w:rsid w:val="00DF31F6"/>
    <w:rsid w:val="00DF44E4"/>
    <w:rsid w:val="00DF6BC4"/>
    <w:rsid w:val="00DF762D"/>
    <w:rsid w:val="00DF7D42"/>
    <w:rsid w:val="00E000BF"/>
    <w:rsid w:val="00E00C44"/>
    <w:rsid w:val="00E03D6F"/>
    <w:rsid w:val="00E047AB"/>
    <w:rsid w:val="00E055FD"/>
    <w:rsid w:val="00E05670"/>
    <w:rsid w:val="00E05D76"/>
    <w:rsid w:val="00E070CD"/>
    <w:rsid w:val="00E07C8C"/>
    <w:rsid w:val="00E13348"/>
    <w:rsid w:val="00E13615"/>
    <w:rsid w:val="00E1480A"/>
    <w:rsid w:val="00E14B3D"/>
    <w:rsid w:val="00E16A1B"/>
    <w:rsid w:val="00E17B97"/>
    <w:rsid w:val="00E200BD"/>
    <w:rsid w:val="00E23235"/>
    <w:rsid w:val="00E23A1F"/>
    <w:rsid w:val="00E2443D"/>
    <w:rsid w:val="00E267C2"/>
    <w:rsid w:val="00E27762"/>
    <w:rsid w:val="00E30116"/>
    <w:rsid w:val="00E30216"/>
    <w:rsid w:val="00E31976"/>
    <w:rsid w:val="00E327E1"/>
    <w:rsid w:val="00E35231"/>
    <w:rsid w:val="00E35705"/>
    <w:rsid w:val="00E35F7E"/>
    <w:rsid w:val="00E36FD3"/>
    <w:rsid w:val="00E37072"/>
    <w:rsid w:val="00E37EC5"/>
    <w:rsid w:val="00E44394"/>
    <w:rsid w:val="00E46224"/>
    <w:rsid w:val="00E4729C"/>
    <w:rsid w:val="00E50F4F"/>
    <w:rsid w:val="00E521EC"/>
    <w:rsid w:val="00E53F71"/>
    <w:rsid w:val="00E5405A"/>
    <w:rsid w:val="00E541F9"/>
    <w:rsid w:val="00E54208"/>
    <w:rsid w:val="00E60A24"/>
    <w:rsid w:val="00E60FA8"/>
    <w:rsid w:val="00E61819"/>
    <w:rsid w:val="00E646A4"/>
    <w:rsid w:val="00E646BB"/>
    <w:rsid w:val="00E64D10"/>
    <w:rsid w:val="00E65254"/>
    <w:rsid w:val="00E6570B"/>
    <w:rsid w:val="00E6650D"/>
    <w:rsid w:val="00E6706B"/>
    <w:rsid w:val="00E7030E"/>
    <w:rsid w:val="00E71CD5"/>
    <w:rsid w:val="00E72180"/>
    <w:rsid w:val="00E74C85"/>
    <w:rsid w:val="00E75490"/>
    <w:rsid w:val="00E764CC"/>
    <w:rsid w:val="00E77990"/>
    <w:rsid w:val="00E81C89"/>
    <w:rsid w:val="00E825C6"/>
    <w:rsid w:val="00E83CA3"/>
    <w:rsid w:val="00E850EE"/>
    <w:rsid w:val="00E85D8D"/>
    <w:rsid w:val="00E85EAC"/>
    <w:rsid w:val="00E930E5"/>
    <w:rsid w:val="00E94F82"/>
    <w:rsid w:val="00E950C9"/>
    <w:rsid w:val="00E96458"/>
    <w:rsid w:val="00E96693"/>
    <w:rsid w:val="00E96E3A"/>
    <w:rsid w:val="00E97353"/>
    <w:rsid w:val="00EA0015"/>
    <w:rsid w:val="00EA2943"/>
    <w:rsid w:val="00EA3340"/>
    <w:rsid w:val="00EA4E29"/>
    <w:rsid w:val="00EA7E68"/>
    <w:rsid w:val="00EB03C7"/>
    <w:rsid w:val="00EB38E6"/>
    <w:rsid w:val="00EB473C"/>
    <w:rsid w:val="00EB4B9B"/>
    <w:rsid w:val="00EB4FC3"/>
    <w:rsid w:val="00EB7C85"/>
    <w:rsid w:val="00EC167B"/>
    <w:rsid w:val="00EC1A18"/>
    <w:rsid w:val="00EC320F"/>
    <w:rsid w:val="00EC3CA8"/>
    <w:rsid w:val="00EC4826"/>
    <w:rsid w:val="00EC4F48"/>
    <w:rsid w:val="00EC5791"/>
    <w:rsid w:val="00ED0A8D"/>
    <w:rsid w:val="00ED23F7"/>
    <w:rsid w:val="00ED2934"/>
    <w:rsid w:val="00ED52AA"/>
    <w:rsid w:val="00ED6E38"/>
    <w:rsid w:val="00EE0282"/>
    <w:rsid w:val="00EE0C5F"/>
    <w:rsid w:val="00EE3947"/>
    <w:rsid w:val="00EE4D62"/>
    <w:rsid w:val="00EF0D0C"/>
    <w:rsid w:val="00EF36E3"/>
    <w:rsid w:val="00EF536A"/>
    <w:rsid w:val="00EF5647"/>
    <w:rsid w:val="00EF62F5"/>
    <w:rsid w:val="00F01237"/>
    <w:rsid w:val="00F0164D"/>
    <w:rsid w:val="00F025DE"/>
    <w:rsid w:val="00F02813"/>
    <w:rsid w:val="00F03C66"/>
    <w:rsid w:val="00F0719F"/>
    <w:rsid w:val="00F0758D"/>
    <w:rsid w:val="00F11EDC"/>
    <w:rsid w:val="00F12F42"/>
    <w:rsid w:val="00F16550"/>
    <w:rsid w:val="00F21A8A"/>
    <w:rsid w:val="00F27A88"/>
    <w:rsid w:val="00F303B9"/>
    <w:rsid w:val="00F31F0C"/>
    <w:rsid w:val="00F3340B"/>
    <w:rsid w:val="00F34DC0"/>
    <w:rsid w:val="00F37491"/>
    <w:rsid w:val="00F41225"/>
    <w:rsid w:val="00F421E6"/>
    <w:rsid w:val="00F4241C"/>
    <w:rsid w:val="00F45A1F"/>
    <w:rsid w:val="00F5028B"/>
    <w:rsid w:val="00F51C55"/>
    <w:rsid w:val="00F526AF"/>
    <w:rsid w:val="00F52A7B"/>
    <w:rsid w:val="00F52DB4"/>
    <w:rsid w:val="00F618C6"/>
    <w:rsid w:val="00F713C4"/>
    <w:rsid w:val="00F758A0"/>
    <w:rsid w:val="00F76E0F"/>
    <w:rsid w:val="00F77EED"/>
    <w:rsid w:val="00F8023E"/>
    <w:rsid w:val="00F852C2"/>
    <w:rsid w:val="00F855B3"/>
    <w:rsid w:val="00F87807"/>
    <w:rsid w:val="00F900AE"/>
    <w:rsid w:val="00F9029F"/>
    <w:rsid w:val="00F90496"/>
    <w:rsid w:val="00F91764"/>
    <w:rsid w:val="00F9251B"/>
    <w:rsid w:val="00F95D8C"/>
    <w:rsid w:val="00F96514"/>
    <w:rsid w:val="00F96C32"/>
    <w:rsid w:val="00FA1A5C"/>
    <w:rsid w:val="00FA46EB"/>
    <w:rsid w:val="00FA506B"/>
    <w:rsid w:val="00FA6A25"/>
    <w:rsid w:val="00FB2534"/>
    <w:rsid w:val="00FB3B57"/>
    <w:rsid w:val="00FB75A8"/>
    <w:rsid w:val="00FB769A"/>
    <w:rsid w:val="00FC3D4A"/>
    <w:rsid w:val="00FC7143"/>
    <w:rsid w:val="00FC7A63"/>
    <w:rsid w:val="00FD2F8E"/>
    <w:rsid w:val="00FD65F9"/>
    <w:rsid w:val="00FD6AE8"/>
    <w:rsid w:val="00FD6F50"/>
    <w:rsid w:val="00FE0B68"/>
    <w:rsid w:val="00FE1635"/>
    <w:rsid w:val="00FE3F6A"/>
    <w:rsid w:val="00FE6E34"/>
    <w:rsid w:val="00FE7156"/>
    <w:rsid w:val="00FE78A9"/>
    <w:rsid w:val="00FF1F95"/>
    <w:rsid w:val="00FF3527"/>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255">
      <w:bodyDiv w:val="1"/>
      <w:marLeft w:val="0"/>
      <w:marRight w:val="0"/>
      <w:marTop w:val="0"/>
      <w:marBottom w:val="0"/>
      <w:divBdr>
        <w:top w:val="none" w:sz="0" w:space="0" w:color="auto"/>
        <w:left w:val="none" w:sz="0" w:space="0" w:color="auto"/>
        <w:bottom w:val="none" w:sz="0" w:space="0" w:color="auto"/>
        <w:right w:val="none" w:sz="0" w:space="0" w:color="auto"/>
      </w:divBdr>
    </w:div>
    <w:div w:id="389154960">
      <w:bodyDiv w:val="1"/>
      <w:marLeft w:val="0"/>
      <w:marRight w:val="0"/>
      <w:marTop w:val="0"/>
      <w:marBottom w:val="0"/>
      <w:divBdr>
        <w:top w:val="none" w:sz="0" w:space="0" w:color="auto"/>
        <w:left w:val="none" w:sz="0" w:space="0" w:color="auto"/>
        <w:bottom w:val="none" w:sz="0" w:space="0" w:color="auto"/>
        <w:right w:val="none" w:sz="0" w:space="0" w:color="auto"/>
      </w:divBdr>
    </w:div>
    <w:div w:id="41675528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2321">
      <w:bodyDiv w:val="1"/>
      <w:marLeft w:val="0"/>
      <w:marRight w:val="0"/>
      <w:marTop w:val="0"/>
      <w:marBottom w:val="0"/>
      <w:divBdr>
        <w:top w:val="none" w:sz="0" w:space="0" w:color="auto"/>
        <w:left w:val="none" w:sz="0" w:space="0" w:color="auto"/>
        <w:bottom w:val="none" w:sz="0" w:space="0" w:color="auto"/>
        <w:right w:val="none" w:sz="0" w:space="0" w:color="auto"/>
      </w:divBdr>
    </w:div>
    <w:div w:id="1163623867">
      <w:bodyDiv w:val="1"/>
      <w:marLeft w:val="0"/>
      <w:marRight w:val="0"/>
      <w:marTop w:val="0"/>
      <w:marBottom w:val="0"/>
      <w:divBdr>
        <w:top w:val="none" w:sz="0" w:space="0" w:color="auto"/>
        <w:left w:val="none" w:sz="0" w:space="0" w:color="auto"/>
        <w:bottom w:val="none" w:sz="0" w:space="0" w:color="auto"/>
        <w:right w:val="none" w:sz="0" w:space="0" w:color="auto"/>
      </w:divBdr>
    </w:div>
    <w:div w:id="144457308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642201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256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M.Đ.</Reference>
    <Case_x0020_Year xmlns="63130c8a-8d1f-4e28-8ee3-43603ca9ef3b">2009</Case_x0020_Year>
    <Case_x0020_Status xmlns="16f2acb5-7363-4076-9084-069fc3bb4325">CASE CLOSED</Case_x0020_Status>
    <Date_x0020_of_x0020_Adoption xmlns="16f2acb5-7363-4076-9084-069fc3bb4325">2014-06-25T22:00:00+00:00</Date_x0020_of_x0020_Adoption>
    <Case_x0020_Number xmlns="16f2acb5-7363-4076-9084-069fc3bb4325">292/09</Case_x0020_Number>
    <Type_x0020_of_x0020_Document xmlns="16f2acb5-7363-4076-9084-069fc3bb4325">Opinion</Type_x0020_of_x0020_Document>
    <_dlc_DocId xmlns="b9fab99d-1571-47f6-8995-3a195ef041f8">M5JDUUKXSQ5W-25-968</_dlc_DocId>
    <_dlc_DocIdUrl xmlns="b9fab99d-1571-47f6-8995-3a195ef041f8">
      <Url>http://www.unmikonline.org/hrap/Eng/_layouts/DocIdRedir.aspx?ID=M5JDUUKXSQ5W-25-968</Url>
      <Description>M5JDUUKXSQ5W-25-968</Description>
    </_dlc_DocIdUrl>
  </documentManagement>
</p:properties>
</file>

<file path=customXml/itemProps1.xml><?xml version="1.0" encoding="utf-8"?>
<ds:datastoreItem xmlns:ds="http://schemas.openxmlformats.org/officeDocument/2006/customXml" ds:itemID="{925ACB25-BAF2-4150-94B3-DE0F68DA45EA}"/>
</file>

<file path=customXml/itemProps2.xml><?xml version="1.0" encoding="utf-8"?>
<ds:datastoreItem xmlns:ds="http://schemas.openxmlformats.org/officeDocument/2006/customXml" ds:itemID="{EF8A74FD-A1D8-405A-987F-288C88D498A9}"/>
</file>

<file path=customXml/itemProps3.xml><?xml version="1.0" encoding="utf-8"?>
<ds:datastoreItem xmlns:ds="http://schemas.openxmlformats.org/officeDocument/2006/customXml" ds:itemID="{A8CD997A-AAA0-4940-AD34-3F62D394335E}"/>
</file>

<file path=customXml/itemProps4.xml><?xml version="1.0" encoding="utf-8"?>
<ds:datastoreItem xmlns:ds="http://schemas.openxmlformats.org/officeDocument/2006/customXml" ds:itemID="{A57ACB9A-1E8D-4541-A882-54A9DE3B228F}"/>
</file>

<file path=customXml/itemProps5.xml><?xml version="1.0" encoding="utf-8"?>
<ds:datastoreItem xmlns:ds="http://schemas.openxmlformats.org/officeDocument/2006/customXml" ds:itemID="{8BDEF8D7-4D8B-4D33-A805-7C5EE8ABD3B0}"/>
</file>

<file path=docProps/app.xml><?xml version="1.0" encoding="utf-8"?>
<Properties xmlns="http://schemas.openxmlformats.org/officeDocument/2006/extended-properties" xmlns:vt="http://schemas.openxmlformats.org/officeDocument/2006/docPropsVTypes">
  <Template>Normal</Template>
  <TotalTime>0</TotalTime>
  <Pages>3</Pages>
  <Words>17978</Words>
  <Characters>102481</Characters>
  <Application>Microsoft Office Word</Application>
  <DocSecurity>0</DocSecurity>
  <Lines>854</Lines>
  <Paragraphs>240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120219</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2014-07-01T08:33:00Z</cp:lastPrinted>
  <dcterms:created xsi:type="dcterms:W3CDTF">2014-07-29T09:34:00Z</dcterms:created>
  <dcterms:modified xsi:type="dcterms:W3CDTF">2014-07-29T09:34:00Z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9f9b7a2f-55d4-42a6-8e82-b92ef4a55a13</vt:lpwstr>
  </property>
</Properties>
</file>